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587C6168">
        <w:trPr>
          <w:trHeight w:val="432"/>
        </w:trPr>
        <w:tc>
          <w:tcPr>
            <w:tcW w:w="5707" w:type="dxa"/>
          </w:tcPr>
          <w:p w14:paraId="2DBDCB72" w14:textId="7A4EACF6" w:rsidR="00ED483F" w:rsidRPr="0095048C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zh-CN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9E1F0A">
              <w:rPr>
                <w:rFonts w:cstheme="minorHAnsi" w:hint="eastAsia"/>
                <w:b/>
                <w:color w:val="000000" w:themeColor="text1"/>
                <w:lang w:eastAsia="zh-CN"/>
              </w:rPr>
              <w:t>55</w:t>
            </w:r>
          </w:p>
        </w:tc>
        <w:tc>
          <w:tcPr>
            <w:tcW w:w="3376" w:type="dxa"/>
          </w:tcPr>
          <w:p w14:paraId="65329394" w14:textId="120CAEBB" w:rsidR="00ED483F" w:rsidRPr="00D66730" w:rsidRDefault="00223CEC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>Poster P7.1.10</w:t>
            </w:r>
          </w:p>
        </w:tc>
      </w:tr>
      <w:tr w:rsidR="00D66730" w:rsidRPr="00D66730" w14:paraId="0837F891" w14:textId="77777777" w:rsidTr="587C6168">
        <w:trPr>
          <w:trHeight w:val="516"/>
        </w:trPr>
        <w:tc>
          <w:tcPr>
            <w:tcW w:w="9083" w:type="dxa"/>
            <w:gridSpan w:val="2"/>
          </w:tcPr>
          <w:p w14:paraId="6BC53966" w14:textId="586FEB09" w:rsidR="00AF3942" w:rsidRPr="00D66730" w:rsidRDefault="00ED483F" w:rsidP="00223CEC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Author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165E66">
              <w:rPr>
                <w:rFonts w:cstheme="minorHAnsi"/>
                <w:b/>
                <w:color w:val="000000" w:themeColor="text1"/>
                <w:lang w:eastAsia="ja-JP"/>
              </w:rPr>
              <w:t xml:space="preserve"> Liange Zheng</w:t>
            </w:r>
          </w:p>
        </w:tc>
      </w:tr>
      <w:tr w:rsidR="00D66730" w:rsidRPr="00D66730" w14:paraId="330BCA96" w14:textId="77777777" w:rsidTr="587C6168">
        <w:trPr>
          <w:trHeight w:val="1067"/>
        </w:trPr>
        <w:tc>
          <w:tcPr>
            <w:tcW w:w="9083" w:type="dxa"/>
            <w:gridSpan w:val="2"/>
          </w:tcPr>
          <w:p w14:paraId="6647858D" w14:textId="3DE42DAE" w:rsidR="009249FD" w:rsidRPr="00D66730" w:rsidRDefault="0028553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8D529B" w:rsidRPr="00BD3E2B">
              <w:rPr>
                <w:b/>
                <w:sz w:val="28"/>
                <w:szCs w:val="28"/>
              </w:rPr>
              <w:t xml:space="preserve"> </w:t>
            </w:r>
            <w:r w:rsidR="008D529B" w:rsidRPr="00223CEC">
              <w:rPr>
                <w:b/>
              </w:rPr>
              <w:t xml:space="preserve">Is illitization a safety concern for bentonite backfilled Engineered Barrier System for </w:t>
            </w:r>
            <w:r w:rsidR="00165E66" w:rsidRPr="00223CEC">
              <w:rPr>
                <w:b/>
              </w:rPr>
              <w:t xml:space="preserve">a </w:t>
            </w:r>
            <w:r w:rsidR="008D529B" w:rsidRPr="00223CEC">
              <w:rPr>
                <w:b/>
              </w:rPr>
              <w:t xml:space="preserve">repository of </w:t>
            </w:r>
            <w:r w:rsidR="009A16FD" w:rsidRPr="00223CEC">
              <w:rPr>
                <w:b/>
              </w:rPr>
              <w:t>high-level</w:t>
            </w:r>
            <w:r w:rsidR="008D529B" w:rsidRPr="00223CEC">
              <w:rPr>
                <w:b/>
              </w:rPr>
              <w:t xml:space="preserve"> radioactive waste?</w:t>
            </w:r>
          </w:p>
          <w:p w14:paraId="0223D0BE" w14:textId="25FB99F7" w:rsidR="00C60BC5" w:rsidRPr="00D66730" w:rsidRDefault="009111E1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 xml:space="preserve">Lawrence Berkeley National Laboratory, USA, </w:t>
            </w:r>
            <w:hyperlink r:id="rId11" w:history="1">
              <w:r w:rsidR="00223CEC" w:rsidRPr="00CF3444">
                <w:rPr>
                  <w:rStyle w:val="Hyperlink"/>
                  <w:rFonts w:cstheme="minorHAnsi"/>
                  <w:b/>
                  <w:lang w:eastAsia="ja-JP"/>
                </w:rPr>
                <w:t>lzheng@lbl.gov</w:t>
              </w:r>
            </w:hyperlink>
            <w:r w:rsidR="00223CEC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</w:p>
        </w:tc>
      </w:tr>
      <w:tr w:rsidR="00D66730" w:rsidRPr="00D66730" w14:paraId="336BE7D3" w14:textId="77777777" w:rsidTr="587C6168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5D4B9EA3" w14:textId="77777777" w:rsidR="00285532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6667B3DC" w14:textId="74E16445" w:rsidR="00D66730" w:rsidRPr="00223CEC" w:rsidRDefault="008D529B" w:rsidP="00316BAF">
            <w:pPr>
              <w:spacing w:before="60" w:after="60"/>
              <w:ind w:right="144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One of 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>safety concern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related to b</w:t>
            </w:r>
            <w:r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entonite buffer is 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>that bentonite may los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e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its swelling and adsorption capacity in the long run due to illitization, the transformation of smectite to illite. 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Illitization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is evidenced in geological formation and it is generally believed that temperature and potassium </w:t>
            </w:r>
            <w:r w:rsidR="0027505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(K) 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>concentration play the key rol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e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. However, illitization has not been conclusively concluded in either small-scale laboratory experiments or large-scale 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m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>ock-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u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p and </w:t>
            </w:r>
            <w:r w:rsidR="00840042" w:rsidRPr="00223CEC">
              <w:rPr>
                <w:rFonts w:cstheme="minorHAnsi"/>
                <w:bCs/>
                <w:i/>
                <w:color w:val="000000" w:themeColor="text1"/>
                <w:lang w:eastAsia="ja-JP"/>
              </w:rPr>
              <w:t>in situ</w:t>
            </w:r>
            <w:r w:rsidR="00840042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or field tests. 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This presentation reviews laboratory tests, numerical modeling, and large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-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scale field test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conducted within US DOE’s Spen</w:t>
            </w:r>
            <w:r w:rsidR="005E5210" w:rsidRPr="00223CEC">
              <w:rPr>
                <w:rFonts w:cstheme="minorHAnsi"/>
                <w:bCs/>
                <w:color w:val="000000" w:themeColor="text1"/>
                <w:lang w:eastAsia="ja-JP"/>
              </w:rPr>
              <w:t>t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Fuel and Waste Science and Technology program, attempting to shed light on a variety 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of 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questions about illitization including (1) whether high temperature (up to 300 </w:t>
            </w:r>
            <w:r w:rsidR="009A16FD" w:rsidRPr="00223CEC">
              <w:rPr>
                <w:rFonts w:cstheme="minorHAnsi"/>
                <w:bCs/>
                <w:color w:val="000000" w:themeColor="text1"/>
                <w:vertAlign w:val="superscript"/>
                <w:lang w:eastAsia="ja-JP"/>
              </w:rPr>
              <w:t>o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C)  significantly accelerate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illitization; (2) what are the key geochemical factors (e.g. Na/K ratio, availability of Al, bentonite/rock interaction) affecting illitization; (3) how illitization affect</w:t>
            </w:r>
            <w:r w:rsidR="005E5210" w:rsidRPr="00223CEC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the swelling stress and sorption or cation exchange capacity of bentonite; (4) what are the issues that hinder the reliable modeling of illitization. These studies showed that temperature becomes a relevant factor when the chemical conditions </w:t>
            </w:r>
            <w:r w:rsidR="009111E1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favors the occurence of </w:t>
            </w:r>
            <w:r w:rsidR="009A16FD" w:rsidRPr="00223CEC">
              <w:rPr>
                <w:rFonts w:cstheme="minorHAnsi"/>
                <w:bCs/>
                <w:color w:val="000000" w:themeColor="text1"/>
                <w:lang w:eastAsia="ja-JP"/>
              </w:rPr>
              <w:t>illitization</w:t>
            </w:r>
            <w:r w:rsidR="009111E1" w:rsidRPr="00223CEC">
              <w:rPr>
                <w:rFonts w:cstheme="minorHAnsi"/>
                <w:bCs/>
                <w:color w:val="000000" w:themeColor="text1"/>
                <w:lang w:eastAsia="ja-JP"/>
              </w:rPr>
              <w:t>: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95048C" w:rsidRPr="00223CEC">
              <w:rPr>
                <w:rFonts w:cstheme="minorHAnsi"/>
                <w:bCs/>
                <w:color w:val="000000" w:themeColor="text1"/>
                <w:lang w:eastAsia="ja-JP"/>
              </w:rPr>
              <w:t>sufficient</w:t>
            </w:r>
            <w:r w:rsidR="009111E1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K </w:t>
            </w:r>
            <w:r w:rsidR="0095048C" w:rsidRPr="00223CEC">
              <w:rPr>
                <w:rFonts w:cstheme="minorHAnsi"/>
                <w:bCs/>
                <w:color w:val="000000" w:themeColor="text1"/>
                <w:lang w:eastAsia="ja-JP"/>
              </w:rPr>
              <w:t>supply, low Na/K ratio, high Al/Si ratio</w:t>
            </w:r>
            <w:r w:rsidR="009111E1" w:rsidRPr="00223CEC">
              <w:rPr>
                <w:rFonts w:cstheme="minorHAnsi"/>
                <w:bCs/>
                <w:color w:val="000000" w:themeColor="text1"/>
                <w:lang w:eastAsia="ja-JP"/>
              </w:rPr>
              <w:t>. Whether K come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from 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>dissolution of K-bearing minerals or groundwater of host rock affect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how illitization proceeds. Models showed that stress reduction by illitization depends on 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type of bentonite and varies spatially and temporally, using bentonite with high swelling capacity may alleviate the detrimental effect of illitization. Illitization does not necessarily lead to 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a </w:t>
            </w:r>
            <w:r w:rsidR="00A61D9F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remarkable reduction of sorption capacity. </w:t>
            </w:r>
            <w:r w:rsidR="00A26614" w:rsidRPr="00223CEC">
              <w:rPr>
                <w:rFonts w:cstheme="minorHAnsi"/>
                <w:bCs/>
                <w:color w:val="000000" w:themeColor="text1"/>
                <w:lang w:eastAsia="ja-JP"/>
              </w:rPr>
              <w:t>Illitization has not been observed in the large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>-</w:t>
            </w:r>
            <w:r w:rsidR="00A26614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scale field test, </w:t>
            </w:r>
            <w:r w:rsidR="009111E1" w:rsidRPr="00223CEC">
              <w:rPr>
                <w:rFonts w:ascii="Calibri" w:eastAsia="Calibri" w:hAnsi="Calibri" w:cs="Calibri"/>
                <w:bCs/>
              </w:rPr>
              <w:t>but this might be due to the limited test time with respect to the typical time of illitization expected in geological conditions</w:t>
            </w:r>
            <w:r w:rsidR="00A26614" w:rsidRPr="00223CEC">
              <w:rPr>
                <w:rFonts w:cstheme="minorHAnsi"/>
                <w:bCs/>
                <w:color w:val="000000" w:themeColor="text1"/>
                <w:lang w:eastAsia="ja-JP"/>
              </w:rPr>
              <w:t>.</w:t>
            </w:r>
            <w:r w:rsidR="0000341E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Reliable modeling of</w:t>
            </w:r>
            <w:r w:rsidR="00A26614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00341E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illitization has been challenging because thermodynamic data </w:t>
            </w:r>
            <w:r w:rsidR="00165E66" w:rsidRPr="00223CEC">
              <w:rPr>
                <w:rFonts w:cstheme="minorHAnsi"/>
                <w:bCs/>
                <w:color w:val="000000" w:themeColor="text1"/>
                <w:lang w:eastAsia="ja-JP"/>
              </w:rPr>
              <w:t xml:space="preserve">for smectite and illite contains large uncertainties. </w:t>
            </w:r>
          </w:p>
        </w:tc>
      </w:tr>
    </w:tbl>
    <w:p w14:paraId="3DB85F1E" w14:textId="77777777" w:rsidR="00ED483F" w:rsidRPr="00D66730" w:rsidRDefault="00ED483F" w:rsidP="004E5042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B152B0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AC9E" w14:textId="77777777" w:rsidR="004B006E" w:rsidRDefault="004B006E" w:rsidP="00AF3942">
      <w:pPr>
        <w:spacing w:after="0" w:line="240" w:lineRule="auto"/>
      </w:pPr>
      <w:r>
        <w:separator/>
      </w:r>
    </w:p>
  </w:endnote>
  <w:endnote w:type="continuationSeparator" w:id="0">
    <w:p w14:paraId="1383FF46" w14:textId="77777777" w:rsidR="004B006E" w:rsidRDefault="004B006E" w:rsidP="00AF3942">
      <w:pPr>
        <w:spacing w:after="0" w:line="240" w:lineRule="auto"/>
      </w:pPr>
      <w:r>
        <w:continuationSeparator/>
      </w:r>
    </w:p>
  </w:endnote>
  <w:endnote w:type="continuationNotice" w:id="1">
    <w:p w14:paraId="69F5C4B6" w14:textId="77777777" w:rsidR="004B006E" w:rsidRDefault="004B00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01A28" w14:textId="77777777" w:rsidR="004B006E" w:rsidRDefault="004B006E" w:rsidP="00AF3942">
      <w:pPr>
        <w:spacing w:after="0" w:line="240" w:lineRule="auto"/>
      </w:pPr>
      <w:r>
        <w:separator/>
      </w:r>
    </w:p>
  </w:footnote>
  <w:footnote w:type="continuationSeparator" w:id="0">
    <w:p w14:paraId="4E7E8881" w14:textId="77777777" w:rsidR="004B006E" w:rsidRDefault="004B006E" w:rsidP="00AF3942">
      <w:pPr>
        <w:spacing w:after="0" w:line="240" w:lineRule="auto"/>
      </w:pPr>
      <w:r>
        <w:continuationSeparator/>
      </w:r>
    </w:p>
  </w:footnote>
  <w:footnote w:type="continuationNotice" w:id="1">
    <w:p w14:paraId="41744D44" w14:textId="77777777" w:rsidR="004B006E" w:rsidRDefault="004B006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255740">
    <w:abstractNumId w:val="1"/>
  </w:num>
  <w:num w:numId="2" w16cid:durableId="715617879">
    <w:abstractNumId w:val="0"/>
  </w:num>
  <w:num w:numId="3" w16cid:durableId="228268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qgUAYKQURiwAAAA="/>
  </w:docVars>
  <w:rsids>
    <w:rsidRoot w:val="00ED483F"/>
    <w:rsid w:val="0000341E"/>
    <w:rsid w:val="00006677"/>
    <w:rsid w:val="001215B8"/>
    <w:rsid w:val="00165E66"/>
    <w:rsid w:val="00223CEC"/>
    <w:rsid w:val="0024518F"/>
    <w:rsid w:val="00275056"/>
    <w:rsid w:val="00285532"/>
    <w:rsid w:val="002B0699"/>
    <w:rsid w:val="002B0863"/>
    <w:rsid w:val="002C48DA"/>
    <w:rsid w:val="002D304D"/>
    <w:rsid w:val="00316BAF"/>
    <w:rsid w:val="003B551F"/>
    <w:rsid w:val="003D606A"/>
    <w:rsid w:val="004B006E"/>
    <w:rsid w:val="004E5042"/>
    <w:rsid w:val="004E51B1"/>
    <w:rsid w:val="00503D4C"/>
    <w:rsid w:val="005208E7"/>
    <w:rsid w:val="005E5210"/>
    <w:rsid w:val="0067177D"/>
    <w:rsid w:val="0077682E"/>
    <w:rsid w:val="007E39C3"/>
    <w:rsid w:val="00840042"/>
    <w:rsid w:val="0084265A"/>
    <w:rsid w:val="008D529B"/>
    <w:rsid w:val="009111E1"/>
    <w:rsid w:val="009249FD"/>
    <w:rsid w:val="0095048C"/>
    <w:rsid w:val="00987449"/>
    <w:rsid w:val="009A16FD"/>
    <w:rsid w:val="009C3C04"/>
    <w:rsid w:val="009C458C"/>
    <w:rsid w:val="009E1F0A"/>
    <w:rsid w:val="00A26614"/>
    <w:rsid w:val="00A61D9F"/>
    <w:rsid w:val="00AF3942"/>
    <w:rsid w:val="00B152B0"/>
    <w:rsid w:val="00B22E8F"/>
    <w:rsid w:val="00C04B31"/>
    <w:rsid w:val="00C60BC5"/>
    <w:rsid w:val="00CD5585"/>
    <w:rsid w:val="00D63D4E"/>
    <w:rsid w:val="00D66730"/>
    <w:rsid w:val="00D7639A"/>
    <w:rsid w:val="00D83D92"/>
    <w:rsid w:val="00DB6830"/>
    <w:rsid w:val="00ED483F"/>
    <w:rsid w:val="00F93A2D"/>
    <w:rsid w:val="587C6168"/>
    <w:rsid w:val="5EA5D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D3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04D"/>
  </w:style>
  <w:style w:type="paragraph" w:styleId="Footer">
    <w:name w:val="footer"/>
    <w:basedOn w:val="Normal"/>
    <w:link w:val="FooterChar"/>
    <w:uiPriority w:val="99"/>
    <w:semiHidden/>
    <w:unhideWhenUsed/>
    <w:rsid w:val="002D3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04D"/>
  </w:style>
  <w:style w:type="character" w:styleId="CommentReference">
    <w:name w:val="annotation reference"/>
    <w:basedOn w:val="DefaultParagraphFont"/>
    <w:uiPriority w:val="99"/>
    <w:semiHidden/>
    <w:unhideWhenUsed/>
    <w:rsid w:val="00D83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D9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3D9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3C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C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zheng@lbl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9B15-0CA7-428C-916C-8E90672F23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5524B5-6EA4-4C41-BA0A-905BBE080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F4A0B-327E-45CE-8B5C-8B657336E5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A1DF5-7A0B-4659-BD67-B33C41B6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357</Words>
  <Characters>2145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6</cp:revision>
  <dcterms:created xsi:type="dcterms:W3CDTF">2024-05-10T14:50:00Z</dcterms:created>
  <dcterms:modified xsi:type="dcterms:W3CDTF">2024-05-20T16:02:00Z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</Properties>
</file>