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03D1F5" w14:textId="77777777" w:rsidR="00285532" w:rsidRPr="00285532" w:rsidRDefault="00285532" w:rsidP="00285532">
      <w:pPr>
        <w:shd w:val="clear" w:color="auto" w:fill="FFFFFF"/>
        <w:spacing w:after="120"/>
        <w:jc w:val="center"/>
        <w:rPr>
          <w:b/>
          <w:bCs/>
          <w:color w:val="116AAF"/>
          <w:szCs w:val="36"/>
        </w:rPr>
      </w:pPr>
      <w:r w:rsidRPr="00285532">
        <w:rPr>
          <w:b/>
          <w:bCs/>
          <w:color w:val="116AAF"/>
          <w:sz w:val="32"/>
          <w:szCs w:val="36"/>
        </w:rPr>
        <w:t xml:space="preserve">Integration Group for the Safety Case (IGSC) Symposium </w:t>
      </w:r>
      <w:r w:rsidR="002C48DA">
        <w:rPr>
          <w:b/>
          <w:bCs/>
          <w:color w:val="116AAF"/>
          <w:sz w:val="32"/>
          <w:szCs w:val="36"/>
        </w:rPr>
        <w:t>2024</w:t>
      </w:r>
      <w:r w:rsidRPr="00285532">
        <w:rPr>
          <w:b/>
          <w:bCs/>
          <w:color w:val="116AAF"/>
          <w:sz w:val="32"/>
          <w:szCs w:val="36"/>
        </w:rPr>
        <w:br/>
      </w:r>
      <w:r w:rsidR="002C48DA" w:rsidRPr="002C48DA">
        <w:rPr>
          <w:i/>
          <w:iCs/>
          <w:color w:val="116AAF"/>
          <w:szCs w:val="36"/>
        </w:rPr>
        <w:t>MOVING TOWARDS THE CONSTRUCTION OF A SAFE DGR – GETTING REAL</w:t>
      </w:r>
    </w:p>
    <w:p w14:paraId="386B57BC" w14:textId="77777777" w:rsidR="00ED483F" w:rsidRPr="00AF3942" w:rsidRDefault="00ED483F" w:rsidP="00ED483F">
      <w:pPr>
        <w:spacing w:after="0" w:line="240" w:lineRule="auto"/>
        <w:ind w:right="-188"/>
        <w:jc w:val="center"/>
        <w:rPr>
          <w:rFonts w:cstheme="minorHAnsi"/>
          <w:b/>
        </w:rPr>
      </w:pPr>
    </w:p>
    <w:tbl>
      <w:tblPr>
        <w:tblStyle w:val="TableGrid"/>
        <w:tblW w:w="9203" w:type="dxa"/>
        <w:tblLook w:val="04A0" w:firstRow="1" w:lastRow="0" w:firstColumn="1" w:lastColumn="0" w:noHBand="0" w:noVBand="1"/>
      </w:tblPr>
      <w:tblGrid>
        <w:gridCol w:w="4604"/>
        <w:gridCol w:w="4599"/>
      </w:tblGrid>
      <w:tr w:rsidR="00ED483F" w:rsidRPr="00AF3942" w14:paraId="11FFC573" w14:textId="77777777" w:rsidTr="006114A5">
        <w:trPr>
          <w:trHeight w:val="367"/>
        </w:trPr>
        <w:tc>
          <w:tcPr>
            <w:tcW w:w="4604" w:type="dxa"/>
          </w:tcPr>
          <w:p w14:paraId="0911A064" w14:textId="366F137D" w:rsidR="00ED483F" w:rsidRPr="00AF3942" w:rsidRDefault="00ED483F" w:rsidP="00C60BC5">
            <w:pPr>
              <w:spacing w:before="60" w:after="60"/>
              <w:ind w:right="-187"/>
              <w:rPr>
                <w:rFonts w:cstheme="minorHAnsi"/>
                <w:b/>
              </w:rPr>
            </w:pPr>
            <w:r w:rsidRPr="00AF3942">
              <w:rPr>
                <w:rFonts w:cstheme="minorHAnsi"/>
                <w:b/>
              </w:rPr>
              <w:t>Abstract Number</w:t>
            </w:r>
            <w:r w:rsidR="00AF3942">
              <w:rPr>
                <w:rFonts w:cstheme="minorHAnsi" w:hint="eastAsia"/>
                <w:b/>
                <w:lang w:eastAsia="ja-JP"/>
              </w:rPr>
              <w:t>:</w:t>
            </w:r>
            <w:r w:rsidR="00285532" w:rsidRPr="00AF3942">
              <w:rPr>
                <w:rFonts w:cstheme="minorHAnsi"/>
                <w:b/>
                <w:lang w:eastAsia="ja-JP"/>
              </w:rPr>
              <w:t xml:space="preserve">  </w:t>
            </w:r>
            <w:r w:rsidR="007372AE">
              <w:rPr>
                <w:rFonts w:cstheme="minorHAnsi" w:hint="eastAsia"/>
                <w:b/>
                <w:lang w:eastAsia="zh-CN"/>
              </w:rPr>
              <w:t>20</w:t>
            </w:r>
            <w:r w:rsidRPr="00AF3942">
              <w:rPr>
                <w:rFonts w:cstheme="minorHAnsi"/>
                <w:b/>
              </w:rPr>
              <w:t xml:space="preserve">       </w:t>
            </w:r>
            <w:r w:rsidRPr="00AF3942">
              <w:rPr>
                <w:rFonts w:cstheme="minorHAnsi"/>
                <w:noProof/>
              </w:rPr>
              <w:t> </w:t>
            </w:r>
            <w:r w:rsidRPr="00AF3942">
              <w:rPr>
                <w:rFonts w:cstheme="minorHAnsi"/>
                <w:noProof/>
              </w:rPr>
              <w:t> </w:t>
            </w:r>
            <w:r w:rsidRPr="00AF3942">
              <w:rPr>
                <w:rFonts w:cstheme="minorHAnsi"/>
                <w:noProof/>
              </w:rPr>
              <w:t> </w:t>
            </w:r>
            <w:r w:rsidRPr="00AF3942">
              <w:rPr>
                <w:rFonts w:cstheme="minorHAnsi"/>
                <w:noProof/>
              </w:rPr>
              <w:t> </w:t>
            </w:r>
            <w:r w:rsidRPr="00AF3942">
              <w:rPr>
                <w:rFonts w:cstheme="minorHAnsi"/>
                <w:noProof/>
              </w:rPr>
              <w:t> </w:t>
            </w:r>
            <w:r w:rsidRPr="00AF3942">
              <w:rPr>
                <w:rFonts w:cstheme="minorHAnsi"/>
                <w:noProof/>
              </w:rPr>
              <w:t> </w:t>
            </w:r>
            <w:r w:rsidRPr="00AF3942">
              <w:rPr>
                <w:rFonts w:cstheme="minorHAnsi"/>
                <w:noProof/>
              </w:rPr>
              <w:t> </w:t>
            </w:r>
            <w:r w:rsidRPr="00AF3942">
              <w:rPr>
                <w:rFonts w:cstheme="minorHAnsi"/>
                <w:noProof/>
              </w:rPr>
              <w:t> </w:t>
            </w:r>
            <w:r w:rsidRPr="00AF3942">
              <w:rPr>
                <w:rFonts w:cstheme="minorHAnsi"/>
                <w:noProof/>
              </w:rPr>
              <w:t> </w:t>
            </w:r>
          </w:p>
        </w:tc>
        <w:tc>
          <w:tcPr>
            <w:tcW w:w="4598" w:type="dxa"/>
          </w:tcPr>
          <w:p w14:paraId="0442CEAF" w14:textId="04D09FA0" w:rsidR="00ED483F" w:rsidRPr="00AF3942" w:rsidRDefault="007372AE" w:rsidP="00AF3942">
            <w:pPr>
              <w:spacing w:before="60" w:after="60"/>
              <w:ind w:right="-187"/>
              <w:rPr>
                <w:rFonts w:cstheme="minorHAnsi"/>
                <w:b/>
                <w:lang w:eastAsia="zh-CN"/>
              </w:rPr>
            </w:pPr>
            <w:r>
              <w:rPr>
                <w:rFonts w:cstheme="minorHAnsi" w:hint="eastAsia"/>
                <w:b/>
                <w:lang w:eastAsia="zh-CN"/>
              </w:rPr>
              <w:t>Session 4.4</w:t>
            </w:r>
          </w:p>
        </w:tc>
      </w:tr>
      <w:tr w:rsidR="00ED483F" w:rsidRPr="00AF3942" w14:paraId="2DD7B31F" w14:textId="77777777" w:rsidTr="006114A5">
        <w:trPr>
          <w:trHeight w:val="452"/>
        </w:trPr>
        <w:tc>
          <w:tcPr>
            <w:tcW w:w="9203" w:type="dxa"/>
            <w:gridSpan w:val="2"/>
          </w:tcPr>
          <w:p w14:paraId="0E8436F3" w14:textId="77777777" w:rsidR="008515AA" w:rsidRDefault="00ED483F" w:rsidP="008515AA">
            <w:pPr>
              <w:spacing w:before="60" w:after="60"/>
              <w:ind w:right="-187"/>
              <w:rPr>
                <w:rFonts w:cstheme="minorHAnsi"/>
                <w:bCs/>
                <w:lang w:eastAsia="ja-JP"/>
              </w:rPr>
            </w:pPr>
            <w:r w:rsidRPr="00AF3942">
              <w:rPr>
                <w:rFonts w:cstheme="minorHAnsi"/>
                <w:b/>
              </w:rPr>
              <w:t>Author</w:t>
            </w:r>
            <w:r w:rsidR="00AF3942" w:rsidRPr="00AF3942">
              <w:rPr>
                <w:rFonts w:cstheme="minorHAnsi"/>
                <w:b/>
                <w:lang w:eastAsia="ja-JP"/>
              </w:rPr>
              <w:t>:</w:t>
            </w:r>
            <w:r w:rsidR="00801AF9">
              <w:rPr>
                <w:rFonts w:cstheme="minorHAnsi"/>
                <w:b/>
                <w:lang w:eastAsia="ja-JP"/>
              </w:rPr>
              <w:t xml:space="preserve"> </w:t>
            </w:r>
            <w:r w:rsidR="00801AF9" w:rsidRPr="00801AF9">
              <w:rPr>
                <w:rFonts w:cstheme="minorHAnsi"/>
                <w:bCs/>
                <w:lang w:eastAsia="ja-JP"/>
              </w:rPr>
              <w:t>Olli Nummi</w:t>
            </w:r>
            <w:r w:rsidR="008515AA">
              <w:rPr>
                <w:rFonts w:cstheme="minorHAnsi"/>
                <w:bCs/>
                <w:lang w:eastAsia="ja-JP"/>
              </w:rPr>
              <w:t xml:space="preserve">, Fortum Power &amp; Heat Oy, Espoo, Finland. </w:t>
            </w:r>
          </w:p>
          <w:p w14:paraId="49CF3958" w14:textId="238C7D5F" w:rsidR="00AF3942" w:rsidRPr="00AF3942" w:rsidRDefault="006114A5" w:rsidP="00C60BC5">
            <w:pPr>
              <w:spacing w:before="60" w:after="60"/>
              <w:ind w:right="-187"/>
              <w:rPr>
                <w:rFonts w:cstheme="minorHAnsi"/>
                <w:b/>
                <w:lang w:eastAsia="ja-JP"/>
              </w:rPr>
            </w:pPr>
            <w:hyperlink r:id="rId11" w:history="1">
              <w:r w:rsidR="008515AA" w:rsidRPr="000D0635">
                <w:rPr>
                  <w:rStyle w:val="Hyperlink"/>
                </w:rPr>
                <w:t>olli.nummi</w:t>
              </w:r>
              <w:r w:rsidR="008515AA" w:rsidRPr="000D0635">
                <w:rPr>
                  <w:rStyle w:val="Hyperlink"/>
                  <w:rFonts w:cstheme="minorHAnsi"/>
                  <w:bCs/>
                  <w:lang w:eastAsia="ja-JP"/>
                </w:rPr>
                <w:t>@fortum.com</w:t>
              </w:r>
            </w:hyperlink>
            <w:r w:rsidR="008515AA">
              <w:rPr>
                <w:rFonts w:cstheme="minorHAnsi"/>
                <w:bCs/>
                <w:lang w:eastAsia="ja-JP"/>
              </w:rPr>
              <w:t xml:space="preserve"> </w:t>
            </w:r>
          </w:p>
        </w:tc>
      </w:tr>
      <w:tr w:rsidR="00ED483F" w:rsidRPr="00AF3942" w14:paraId="7A992121" w14:textId="77777777" w:rsidTr="006114A5">
        <w:trPr>
          <w:trHeight w:val="934"/>
        </w:trPr>
        <w:tc>
          <w:tcPr>
            <w:tcW w:w="9203" w:type="dxa"/>
            <w:gridSpan w:val="2"/>
          </w:tcPr>
          <w:p w14:paraId="46FF710C" w14:textId="77777777" w:rsidR="009249FD" w:rsidRPr="00AF3942" w:rsidRDefault="00285532" w:rsidP="00C60BC5">
            <w:pPr>
              <w:spacing w:before="60" w:after="60"/>
              <w:ind w:right="-187"/>
              <w:rPr>
                <w:rFonts w:cstheme="minorHAnsi"/>
                <w:b/>
                <w:lang w:eastAsia="ja-JP"/>
              </w:rPr>
            </w:pPr>
            <w:r w:rsidRPr="00AF3942">
              <w:rPr>
                <w:rFonts w:cstheme="minorHAnsi"/>
                <w:b/>
                <w:lang w:eastAsia="ja-JP"/>
              </w:rPr>
              <w:t xml:space="preserve">Abstract </w:t>
            </w:r>
            <w:r w:rsidR="00ED483F" w:rsidRPr="00AF3942">
              <w:rPr>
                <w:rFonts w:cstheme="minorHAnsi"/>
                <w:b/>
              </w:rPr>
              <w:t>Title</w:t>
            </w:r>
            <w:r w:rsidR="00AF3942" w:rsidRPr="00AF3942">
              <w:rPr>
                <w:rFonts w:cstheme="minorHAnsi"/>
                <w:b/>
                <w:lang w:eastAsia="ja-JP"/>
              </w:rPr>
              <w:t>:</w:t>
            </w:r>
          </w:p>
          <w:p w14:paraId="3E91CE03" w14:textId="6A7F3BE2" w:rsidR="00C60BC5" w:rsidRPr="00AF3942" w:rsidRDefault="00801AF9" w:rsidP="00004843">
            <w:pPr>
              <w:spacing w:before="60" w:after="60"/>
              <w:ind w:right="-187"/>
              <w:rPr>
                <w:rFonts w:cstheme="minorHAnsi"/>
                <w:b/>
                <w:lang w:eastAsia="ja-JP"/>
              </w:rPr>
            </w:pPr>
            <w:r>
              <w:rPr>
                <w:rFonts w:cstheme="minorHAnsi"/>
                <w:b/>
                <w:lang w:eastAsia="ja-JP"/>
              </w:rPr>
              <w:t xml:space="preserve">Role of </w:t>
            </w:r>
            <w:r w:rsidR="0068582C">
              <w:rPr>
                <w:rFonts w:cstheme="minorHAnsi"/>
                <w:b/>
                <w:lang w:eastAsia="ja-JP"/>
              </w:rPr>
              <w:t>the</w:t>
            </w:r>
            <w:r>
              <w:rPr>
                <w:rFonts w:cstheme="minorHAnsi"/>
                <w:b/>
                <w:lang w:eastAsia="ja-JP"/>
              </w:rPr>
              <w:t xml:space="preserve"> safety case for </w:t>
            </w:r>
            <w:r w:rsidR="0068582C">
              <w:rPr>
                <w:rFonts w:cstheme="minorHAnsi"/>
                <w:b/>
                <w:lang w:eastAsia="ja-JP"/>
              </w:rPr>
              <w:t xml:space="preserve">the </w:t>
            </w:r>
            <w:r>
              <w:rPr>
                <w:rFonts w:cstheme="minorHAnsi"/>
                <w:b/>
                <w:lang w:eastAsia="ja-JP"/>
              </w:rPr>
              <w:t xml:space="preserve">LILW </w:t>
            </w:r>
            <w:r w:rsidR="0068582C">
              <w:rPr>
                <w:rFonts w:cstheme="minorHAnsi"/>
                <w:b/>
                <w:lang w:eastAsia="ja-JP"/>
              </w:rPr>
              <w:t xml:space="preserve">repository </w:t>
            </w:r>
            <w:r w:rsidR="00F13139">
              <w:rPr>
                <w:rFonts w:cstheme="minorHAnsi"/>
                <w:b/>
                <w:lang w:eastAsia="ja-JP"/>
              </w:rPr>
              <w:t>in</w:t>
            </w:r>
            <w:r>
              <w:rPr>
                <w:rFonts w:cstheme="minorHAnsi"/>
                <w:b/>
                <w:lang w:eastAsia="ja-JP"/>
              </w:rPr>
              <w:t xml:space="preserve"> Loviisa, Finland</w:t>
            </w:r>
          </w:p>
        </w:tc>
      </w:tr>
      <w:tr w:rsidR="00285532" w:rsidRPr="00AF3942" w14:paraId="631AB1E7" w14:textId="77777777" w:rsidTr="006114A5">
        <w:trPr>
          <w:trHeight w:val="408"/>
        </w:trPr>
        <w:tc>
          <w:tcPr>
            <w:tcW w:w="9203" w:type="dxa"/>
            <w:gridSpan w:val="2"/>
            <w:tcBorders>
              <w:bottom w:val="single" w:sz="4" w:space="0" w:color="auto"/>
            </w:tcBorders>
          </w:tcPr>
          <w:p w14:paraId="5F98D93C" w14:textId="77777777" w:rsidR="00285532" w:rsidRDefault="00AF3942" w:rsidP="00C60BC5">
            <w:pPr>
              <w:spacing w:before="60" w:after="60"/>
              <w:ind w:right="-187"/>
              <w:rPr>
                <w:rFonts w:cstheme="minorHAnsi"/>
                <w:b/>
                <w:lang w:eastAsia="ja-JP"/>
              </w:rPr>
            </w:pPr>
            <w:r w:rsidRPr="00AF3942">
              <w:rPr>
                <w:rFonts w:cstheme="minorHAnsi"/>
                <w:b/>
                <w:lang w:eastAsia="ja-JP"/>
              </w:rPr>
              <w:t>Abstract (300-500 words)</w:t>
            </w:r>
            <w:r w:rsidR="003D606A">
              <w:rPr>
                <w:rFonts w:cstheme="minorHAnsi"/>
                <w:b/>
                <w:lang w:eastAsia="ja-JP"/>
              </w:rPr>
              <w:t>:</w:t>
            </w:r>
          </w:p>
          <w:p w14:paraId="05D2C285" w14:textId="359A539F" w:rsidR="00801AF9" w:rsidRDefault="00801AF9" w:rsidP="00801AF9">
            <w:pPr>
              <w:pStyle w:val="NormalIndent"/>
              <w:spacing w:after="0"/>
              <w:ind w:left="0"/>
              <w:jc w:val="both"/>
              <w:rPr>
                <w:rFonts w:asciiTheme="minorHAnsi" w:hAnsiTheme="minorHAnsi" w:cstheme="minorHAnsi"/>
                <w:sz w:val="22"/>
                <w:szCs w:val="22"/>
              </w:rPr>
            </w:pPr>
            <w:r>
              <w:rPr>
                <w:rFonts w:asciiTheme="minorHAnsi" w:hAnsiTheme="minorHAnsi" w:cstheme="minorHAnsi"/>
                <w:sz w:val="22"/>
                <w:szCs w:val="22"/>
              </w:rPr>
              <w:t>In Finland, the waste producer has the responsibility to manage nuclear wastes produced, including the final disposal. Fortum disposes the low and intermediate level wastes (LILW) produced at</w:t>
            </w:r>
            <w:r w:rsidR="006F7677">
              <w:rPr>
                <w:rFonts w:asciiTheme="minorHAnsi" w:hAnsiTheme="minorHAnsi" w:cstheme="minorHAnsi"/>
                <w:sz w:val="22"/>
                <w:szCs w:val="22"/>
              </w:rPr>
              <w:t xml:space="preserve"> the</w:t>
            </w:r>
            <w:r>
              <w:rPr>
                <w:rFonts w:asciiTheme="minorHAnsi" w:hAnsiTheme="minorHAnsi" w:cstheme="minorHAnsi"/>
                <w:sz w:val="22"/>
                <w:szCs w:val="22"/>
              </w:rPr>
              <w:t xml:space="preserve"> Loviisa nuclear power plant </w:t>
            </w:r>
            <w:r w:rsidR="00A84C71">
              <w:rPr>
                <w:rFonts w:asciiTheme="minorHAnsi" w:hAnsiTheme="minorHAnsi" w:cstheme="minorHAnsi"/>
                <w:sz w:val="22"/>
                <w:szCs w:val="22"/>
              </w:rPr>
              <w:t xml:space="preserve">(NPP) </w:t>
            </w:r>
            <w:r>
              <w:rPr>
                <w:rFonts w:asciiTheme="minorHAnsi" w:hAnsiTheme="minorHAnsi" w:cstheme="minorHAnsi"/>
                <w:sz w:val="22"/>
                <w:szCs w:val="22"/>
              </w:rPr>
              <w:t xml:space="preserve">in a repository located at the </w:t>
            </w:r>
            <w:r w:rsidR="00A84C71">
              <w:rPr>
                <w:rFonts w:asciiTheme="minorHAnsi" w:hAnsiTheme="minorHAnsi" w:cstheme="minorHAnsi"/>
                <w:sz w:val="22"/>
                <w:szCs w:val="22"/>
              </w:rPr>
              <w:t>NPP</w:t>
            </w:r>
            <w:r>
              <w:rPr>
                <w:rFonts w:asciiTheme="minorHAnsi" w:hAnsiTheme="minorHAnsi" w:cstheme="minorHAnsi"/>
                <w:sz w:val="22"/>
                <w:szCs w:val="22"/>
              </w:rPr>
              <w:t xml:space="preserve"> site at </w:t>
            </w:r>
            <w:r w:rsidR="006F7677">
              <w:rPr>
                <w:rFonts w:asciiTheme="minorHAnsi" w:hAnsiTheme="minorHAnsi" w:cstheme="minorHAnsi"/>
                <w:sz w:val="22"/>
                <w:szCs w:val="22"/>
              </w:rPr>
              <w:t xml:space="preserve">a </w:t>
            </w:r>
            <w:r>
              <w:rPr>
                <w:rFonts w:asciiTheme="minorHAnsi" w:hAnsiTheme="minorHAnsi" w:cstheme="minorHAnsi"/>
                <w:sz w:val="22"/>
                <w:szCs w:val="22"/>
              </w:rPr>
              <w:t>depth of approximately 100</w:t>
            </w:r>
            <w:r w:rsidR="0068582C">
              <w:rPr>
                <w:rFonts w:asciiTheme="minorHAnsi" w:hAnsiTheme="minorHAnsi" w:cstheme="minorHAnsi"/>
                <w:sz w:val="22"/>
                <w:szCs w:val="22"/>
              </w:rPr>
              <w:t> </w:t>
            </w:r>
            <w:r>
              <w:rPr>
                <w:rFonts w:asciiTheme="minorHAnsi" w:hAnsiTheme="minorHAnsi" w:cstheme="minorHAnsi"/>
                <w:sz w:val="22"/>
                <w:szCs w:val="22"/>
              </w:rPr>
              <w:t xml:space="preserve">meters. The repository </w:t>
            </w:r>
            <w:r w:rsidR="00A84C71">
              <w:rPr>
                <w:rFonts w:asciiTheme="minorHAnsi" w:hAnsiTheme="minorHAnsi" w:cstheme="minorHAnsi"/>
                <w:sz w:val="22"/>
                <w:szCs w:val="22"/>
              </w:rPr>
              <w:t>was</w:t>
            </w:r>
            <w:r>
              <w:rPr>
                <w:rFonts w:asciiTheme="minorHAnsi" w:hAnsiTheme="minorHAnsi" w:cstheme="minorHAnsi"/>
                <w:sz w:val="22"/>
                <w:szCs w:val="22"/>
              </w:rPr>
              <w:t xml:space="preserve"> commissioned in 1998. Having the whole chain from waste production, handling, </w:t>
            </w:r>
            <w:proofErr w:type="gramStart"/>
            <w:r>
              <w:rPr>
                <w:rFonts w:asciiTheme="minorHAnsi" w:hAnsiTheme="minorHAnsi" w:cstheme="minorHAnsi"/>
                <w:sz w:val="22"/>
                <w:szCs w:val="22"/>
              </w:rPr>
              <w:t>transportation</w:t>
            </w:r>
            <w:proofErr w:type="gramEnd"/>
            <w:r>
              <w:rPr>
                <w:rFonts w:asciiTheme="minorHAnsi" w:hAnsiTheme="minorHAnsi" w:cstheme="minorHAnsi"/>
                <w:sz w:val="22"/>
                <w:szCs w:val="22"/>
              </w:rPr>
              <w:t xml:space="preserve"> and disposal of the LILW within a single organisation has proven to be a straightforward and cost-effective way to manage and dispose of the nuclear waste produced. </w:t>
            </w:r>
          </w:p>
          <w:p w14:paraId="017D1521" w14:textId="77777777" w:rsidR="00801AF9" w:rsidRDefault="00801AF9" w:rsidP="00801AF9">
            <w:pPr>
              <w:pStyle w:val="NormalIndent"/>
              <w:spacing w:after="0"/>
              <w:ind w:left="0"/>
              <w:jc w:val="both"/>
              <w:rPr>
                <w:rFonts w:asciiTheme="minorHAnsi" w:hAnsiTheme="minorHAnsi" w:cstheme="minorHAnsi"/>
                <w:sz w:val="22"/>
                <w:szCs w:val="22"/>
              </w:rPr>
            </w:pPr>
          </w:p>
          <w:p w14:paraId="36A037EE" w14:textId="2FCDCD94" w:rsidR="00F13139" w:rsidRDefault="00801AF9" w:rsidP="00801AF9">
            <w:pPr>
              <w:pStyle w:val="NormalIndent"/>
              <w:spacing w:after="0"/>
              <w:ind w:left="0"/>
              <w:jc w:val="both"/>
              <w:rPr>
                <w:rFonts w:asciiTheme="minorHAnsi" w:hAnsiTheme="minorHAnsi" w:cstheme="minorHAnsi"/>
                <w:sz w:val="22"/>
                <w:szCs w:val="22"/>
              </w:rPr>
            </w:pPr>
            <w:r>
              <w:rPr>
                <w:rFonts w:asciiTheme="minorHAnsi" w:hAnsiTheme="minorHAnsi" w:cstheme="minorHAnsi"/>
                <w:sz w:val="22"/>
                <w:szCs w:val="22"/>
              </w:rPr>
              <w:t xml:space="preserve">The </w:t>
            </w:r>
            <w:r w:rsidR="0007338F">
              <w:rPr>
                <w:rFonts w:asciiTheme="minorHAnsi" w:hAnsiTheme="minorHAnsi" w:cstheme="minorHAnsi"/>
                <w:sz w:val="22"/>
                <w:szCs w:val="22"/>
              </w:rPr>
              <w:t xml:space="preserve">post-closure </w:t>
            </w:r>
            <w:r>
              <w:rPr>
                <w:rFonts w:asciiTheme="minorHAnsi" w:hAnsiTheme="minorHAnsi" w:cstheme="minorHAnsi"/>
                <w:sz w:val="22"/>
                <w:szCs w:val="22"/>
              </w:rPr>
              <w:t xml:space="preserve">safety case is updated at least every 15 years in conjunction with the periodic safety review for the </w:t>
            </w:r>
            <w:r w:rsidR="0068582C">
              <w:rPr>
                <w:rFonts w:asciiTheme="minorHAnsi" w:hAnsiTheme="minorHAnsi" w:cstheme="minorHAnsi"/>
                <w:sz w:val="22"/>
                <w:szCs w:val="22"/>
              </w:rPr>
              <w:t xml:space="preserve">disposal </w:t>
            </w:r>
            <w:r>
              <w:rPr>
                <w:rFonts w:asciiTheme="minorHAnsi" w:hAnsiTheme="minorHAnsi" w:cstheme="minorHAnsi"/>
                <w:sz w:val="22"/>
                <w:szCs w:val="22"/>
              </w:rPr>
              <w:t xml:space="preserve">facility. </w:t>
            </w:r>
            <w:r w:rsidR="00F13139">
              <w:rPr>
                <w:rFonts w:asciiTheme="minorHAnsi" w:hAnsiTheme="minorHAnsi" w:cstheme="minorHAnsi"/>
                <w:sz w:val="22"/>
                <w:szCs w:val="22"/>
              </w:rPr>
              <w:t>The safety case was updated in 2018 and was approved by the regulator in 2019. The safety case include</w:t>
            </w:r>
            <w:r w:rsidR="0007338F">
              <w:rPr>
                <w:rFonts w:asciiTheme="minorHAnsi" w:hAnsiTheme="minorHAnsi" w:cstheme="minorHAnsi"/>
                <w:sz w:val="22"/>
                <w:szCs w:val="22"/>
              </w:rPr>
              <w:t>d</w:t>
            </w:r>
            <w:r w:rsidR="00F13139">
              <w:rPr>
                <w:rFonts w:asciiTheme="minorHAnsi" w:hAnsiTheme="minorHAnsi" w:cstheme="minorHAnsi"/>
                <w:sz w:val="22"/>
                <w:szCs w:val="22"/>
              </w:rPr>
              <w:t xml:space="preserve"> both the operational wastes as well as the </w:t>
            </w:r>
            <w:r w:rsidR="0007338F">
              <w:rPr>
                <w:rFonts w:asciiTheme="minorHAnsi" w:hAnsiTheme="minorHAnsi" w:cstheme="minorHAnsi"/>
                <w:sz w:val="22"/>
                <w:szCs w:val="22"/>
              </w:rPr>
              <w:t xml:space="preserve">future </w:t>
            </w:r>
            <w:r w:rsidR="00F13139">
              <w:rPr>
                <w:rFonts w:asciiTheme="minorHAnsi" w:hAnsiTheme="minorHAnsi" w:cstheme="minorHAnsi"/>
                <w:sz w:val="22"/>
                <w:szCs w:val="22"/>
              </w:rPr>
              <w:t>decommissioning waste</w:t>
            </w:r>
            <w:r w:rsidR="0007338F">
              <w:rPr>
                <w:rFonts w:asciiTheme="minorHAnsi" w:hAnsiTheme="minorHAnsi" w:cstheme="minorHAnsi"/>
                <w:sz w:val="22"/>
                <w:szCs w:val="22"/>
              </w:rPr>
              <w:t>s that will be disposed of prior to the repository closure</w:t>
            </w:r>
            <w:r w:rsidR="00F13139">
              <w:rPr>
                <w:rFonts w:asciiTheme="minorHAnsi" w:hAnsiTheme="minorHAnsi" w:cstheme="minorHAnsi"/>
                <w:sz w:val="22"/>
                <w:szCs w:val="22"/>
              </w:rPr>
              <w:t xml:space="preserve">. </w:t>
            </w:r>
            <w:r w:rsidR="00F13139" w:rsidRPr="00F13139">
              <w:rPr>
                <w:rFonts w:asciiTheme="minorHAnsi" w:hAnsiTheme="minorHAnsi" w:cstheme="minorHAnsi"/>
                <w:sz w:val="22"/>
                <w:szCs w:val="22"/>
              </w:rPr>
              <w:t>Many aspects of the safety case have been adapted from Posiva's and SKB's safety cases</w:t>
            </w:r>
            <w:r w:rsidR="00843BEC">
              <w:rPr>
                <w:rFonts w:asciiTheme="minorHAnsi" w:hAnsiTheme="minorHAnsi" w:cstheme="minorHAnsi"/>
                <w:sz w:val="22"/>
                <w:szCs w:val="22"/>
              </w:rPr>
              <w:t>, considering a graded approach</w:t>
            </w:r>
            <w:r w:rsidR="00F13139" w:rsidRPr="00F13139">
              <w:rPr>
                <w:rFonts w:asciiTheme="minorHAnsi" w:hAnsiTheme="minorHAnsi" w:cstheme="minorHAnsi"/>
                <w:sz w:val="22"/>
                <w:szCs w:val="22"/>
              </w:rPr>
              <w:t>. The assessment period was selected to be 100,000 years justified by the radioactivity of the waste.</w:t>
            </w:r>
          </w:p>
          <w:p w14:paraId="3B8E6DFE" w14:textId="77777777" w:rsidR="00F13139" w:rsidRDefault="00F13139" w:rsidP="00801AF9">
            <w:pPr>
              <w:pStyle w:val="NormalIndent"/>
              <w:spacing w:after="0"/>
              <w:ind w:left="0"/>
              <w:jc w:val="both"/>
              <w:rPr>
                <w:rFonts w:asciiTheme="minorHAnsi" w:hAnsiTheme="minorHAnsi" w:cstheme="minorHAnsi"/>
                <w:sz w:val="22"/>
                <w:szCs w:val="22"/>
              </w:rPr>
            </w:pPr>
          </w:p>
          <w:p w14:paraId="621E87FB" w14:textId="77777777" w:rsidR="00A84C71" w:rsidRDefault="00801AF9" w:rsidP="00801AF9">
            <w:pPr>
              <w:pStyle w:val="NormalIndent"/>
              <w:spacing w:after="0"/>
              <w:ind w:left="0"/>
              <w:jc w:val="both"/>
              <w:rPr>
                <w:rFonts w:asciiTheme="minorHAnsi" w:hAnsiTheme="minorHAnsi" w:cstheme="minorHAnsi"/>
                <w:sz w:val="22"/>
                <w:szCs w:val="22"/>
              </w:rPr>
            </w:pPr>
            <w:r>
              <w:rPr>
                <w:rFonts w:asciiTheme="minorHAnsi" w:hAnsiTheme="minorHAnsi" w:cstheme="minorHAnsi"/>
                <w:sz w:val="22"/>
                <w:szCs w:val="22"/>
              </w:rPr>
              <w:t>The safety case is influenced by the existing repository design</w:t>
            </w:r>
            <w:r w:rsidR="00F13139">
              <w:rPr>
                <w:rFonts w:asciiTheme="minorHAnsi" w:hAnsiTheme="minorHAnsi" w:cstheme="minorHAnsi"/>
                <w:sz w:val="22"/>
                <w:szCs w:val="22"/>
              </w:rPr>
              <w:t>, engineered barriers</w:t>
            </w:r>
            <w:r>
              <w:rPr>
                <w:rFonts w:asciiTheme="minorHAnsi" w:hAnsiTheme="minorHAnsi" w:cstheme="minorHAnsi"/>
                <w:sz w:val="22"/>
                <w:szCs w:val="22"/>
              </w:rPr>
              <w:t xml:space="preserve">, wastes produced </w:t>
            </w:r>
            <w:r w:rsidR="00A84C71">
              <w:rPr>
                <w:rFonts w:asciiTheme="minorHAnsi" w:hAnsiTheme="minorHAnsi" w:cstheme="minorHAnsi"/>
                <w:sz w:val="22"/>
                <w:szCs w:val="22"/>
              </w:rPr>
              <w:t xml:space="preserve">so </w:t>
            </w:r>
            <w:proofErr w:type="gramStart"/>
            <w:r w:rsidR="00A84C71">
              <w:rPr>
                <w:rFonts w:asciiTheme="minorHAnsi" w:hAnsiTheme="minorHAnsi" w:cstheme="minorHAnsi"/>
                <w:sz w:val="22"/>
                <w:szCs w:val="22"/>
              </w:rPr>
              <w:t>far</w:t>
            </w:r>
            <w:proofErr w:type="gramEnd"/>
            <w:r w:rsidR="00A84C71">
              <w:rPr>
                <w:rFonts w:asciiTheme="minorHAnsi" w:hAnsiTheme="minorHAnsi" w:cstheme="minorHAnsi"/>
                <w:sz w:val="22"/>
                <w:szCs w:val="22"/>
              </w:rPr>
              <w:t xml:space="preserve"> </w:t>
            </w:r>
            <w:r>
              <w:rPr>
                <w:rFonts w:asciiTheme="minorHAnsi" w:hAnsiTheme="minorHAnsi" w:cstheme="minorHAnsi"/>
                <w:sz w:val="22"/>
                <w:szCs w:val="22"/>
              </w:rPr>
              <w:t>and monitoring carried out in and around the repository</w:t>
            </w:r>
            <w:r w:rsidR="00A84C71">
              <w:rPr>
                <w:rFonts w:asciiTheme="minorHAnsi" w:hAnsiTheme="minorHAnsi" w:cstheme="minorHAnsi"/>
                <w:sz w:val="22"/>
                <w:szCs w:val="22"/>
              </w:rPr>
              <w:t xml:space="preserve">. In addition, the assumptions regarding future waste accumulation and </w:t>
            </w:r>
            <w:proofErr w:type="gramStart"/>
            <w:r w:rsidR="00A84C71">
              <w:rPr>
                <w:rFonts w:asciiTheme="minorHAnsi" w:hAnsiTheme="minorHAnsi" w:cstheme="minorHAnsi"/>
                <w:sz w:val="22"/>
                <w:szCs w:val="22"/>
              </w:rPr>
              <w:t>plans for the future</w:t>
            </w:r>
            <w:proofErr w:type="gramEnd"/>
            <w:r w:rsidR="00A84C71">
              <w:rPr>
                <w:rFonts w:asciiTheme="minorHAnsi" w:hAnsiTheme="minorHAnsi" w:cstheme="minorHAnsi"/>
                <w:sz w:val="22"/>
                <w:szCs w:val="22"/>
              </w:rPr>
              <w:t xml:space="preserve"> extension of the repository have a direct impact on the safety case. </w:t>
            </w:r>
          </w:p>
          <w:p w14:paraId="485398CD" w14:textId="77777777" w:rsidR="00A84C71" w:rsidRDefault="00A84C71" w:rsidP="00801AF9">
            <w:pPr>
              <w:pStyle w:val="NormalIndent"/>
              <w:spacing w:after="0"/>
              <w:ind w:left="0"/>
              <w:jc w:val="both"/>
              <w:rPr>
                <w:rFonts w:asciiTheme="minorHAnsi" w:hAnsiTheme="minorHAnsi" w:cstheme="minorHAnsi"/>
                <w:sz w:val="22"/>
                <w:szCs w:val="22"/>
              </w:rPr>
            </w:pPr>
          </w:p>
          <w:p w14:paraId="4A19CA89" w14:textId="77777777" w:rsidR="00801AF9" w:rsidRDefault="00F13139" w:rsidP="00801AF9">
            <w:pPr>
              <w:pStyle w:val="NormalIndent"/>
              <w:spacing w:after="0"/>
              <w:ind w:left="0"/>
              <w:jc w:val="both"/>
              <w:rPr>
                <w:rFonts w:asciiTheme="minorHAnsi" w:hAnsiTheme="minorHAnsi" w:cstheme="minorHAnsi"/>
                <w:sz w:val="22"/>
                <w:szCs w:val="22"/>
              </w:rPr>
            </w:pPr>
            <w:r>
              <w:rPr>
                <w:rFonts w:asciiTheme="minorHAnsi" w:hAnsiTheme="minorHAnsi" w:cstheme="minorHAnsi"/>
                <w:sz w:val="22"/>
                <w:szCs w:val="22"/>
              </w:rPr>
              <w:t xml:space="preserve">The main outcomes of the safety case are </w:t>
            </w:r>
            <w:r w:rsidR="00A84C71">
              <w:rPr>
                <w:rFonts w:asciiTheme="minorHAnsi" w:hAnsiTheme="minorHAnsi" w:cstheme="minorHAnsi"/>
                <w:sz w:val="22"/>
                <w:szCs w:val="22"/>
              </w:rPr>
              <w:t>identified as:</w:t>
            </w:r>
          </w:p>
          <w:p w14:paraId="5A7BD058" w14:textId="77777777" w:rsidR="00F13139" w:rsidRPr="002F0B73" w:rsidRDefault="00F13139" w:rsidP="00F13139">
            <w:pPr>
              <w:numPr>
                <w:ilvl w:val="0"/>
                <w:numId w:val="5"/>
              </w:numPr>
              <w:contextualSpacing/>
              <w:jc w:val="both"/>
            </w:pPr>
            <w:r w:rsidRPr="002F0B73">
              <w:t xml:space="preserve">integration of the relevant information and demonstration the compliance of the disposal with long-term safety </w:t>
            </w:r>
            <w:proofErr w:type="gramStart"/>
            <w:r w:rsidRPr="002F0B73">
              <w:t>requirements;</w:t>
            </w:r>
            <w:proofErr w:type="gramEnd"/>
          </w:p>
          <w:p w14:paraId="5AF4B35B" w14:textId="77777777" w:rsidR="00F13139" w:rsidRPr="002F0B73" w:rsidRDefault="00F13139" w:rsidP="00F13139">
            <w:pPr>
              <w:numPr>
                <w:ilvl w:val="0"/>
                <w:numId w:val="5"/>
              </w:numPr>
              <w:contextualSpacing/>
              <w:jc w:val="both"/>
            </w:pPr>
            <w:r w:rsidRPr="002F0B73">
              <w:t xml:space="preserve">identification of the main uncertainties affecting the long-term safety and guidance to further research and development programmes or to design changes; and </w:t>
            </w:r>
          </w:p>
          <w:p w14:paraId="78919FC5" w14:textId="77777777" w:rsidR="00F13139" w:rsidRDefault="00F13139" w:rsidP="00F13139">
            <w:pPr>
              <w:numPr>
                <w:ilvl w:val="0"/>
                <w:numId w:val="5"/>
              </w:numPr>
              <w:contextualSpacing/>
              <w:jc w:val="both"/>
            </w:pPr>
            <w:r w:rsidRPr="002F0B73">
              <w:t xml:space="preserve">communicating the results to various stakeholders and support their decision making. </w:t>
            </w:r>
          </w:p>
          <w:p w14:paraId="05AB301F" w14:textId="77777777" w:rsidR="00F13139" w:rsidRDefault="00F13139" w:rsidP="00F13139">
            <w:pPr>
              <w:contextualSpacing/>
              <w:jc w:val="both"/>
            </w:pPr>
          </w:p>
          <w:p w14:paraId="1361C9F0" w14:textId="120817D3" w:rsidR="00801AF9" w:rsidRDefault="00F13139" w:rsidP="00A84C71">
            <w:pPr>
              <w:contextualSpacing/>
              <w:jc w:val="both"/>
            </w:pPr>
            <w:r w:rsidRPr="002F0B73">
              <w:t>A large proportion of the operational waste has already been disposed of in existing waste caverns and the possibilities to modify the disposal concept of those wastes are limited.</w:t>
            </w:r>
            <w:r>
              <w:t xml:space="preserve"> </w:t>
            </w:r>
            <w:r w:rsidRPr="002F0B73">
              <w:t xml:space="preserve">The possibilities to </w:t>
            </w:r>
            <w:r>
              <w:t>influence</w:t>
            </w:r>
            <w:r w:rsidRPr="002F0B73">
              <w:t xml:space="preserve"> the disposal of decommissioning waste are </w:t>
            </w:r>
            <w:proofErr w:type="gramStart"/>
            <w:r w:rsidRPr="002F0B73">
              <w:t>greater, s</w:t>
            </w:r>
            <w:r>
              <w:t>ince</w:t>
            </w:r>
            <w:proofErr w:type="gramEnd"/>
            <w:r>
              <w:t xml:space="preserve"> the decommissioning of the </w:t>
            </w:r>
            <w:r w:rsidRPr="002F0B73">
              <w:t>Loviisa NPP is planned to begin in 20</w:t>
            </w:r>
            <w:r>
              <w:t xml:space="preserve">50s at the earliest. For example, </w:t>
            </w:r>
            <w:r w:rsidR="00A84C71">
              <w:t>the latest safety case update assumed the reactor pressure vessels to be disposed as whole and the reactor internals were disposed inside them.  T</w:t>
            </w:r>
            <w:r>
              <w:t>he disposal plan of the reactor pressure vessels and the reactor internal</w:t>
            </w:r>
            <w:r w:rsidR="006F7677">
              <w:t>s</w:t>
            </w:r>
            <w:r>
              <w:t xml:space="preserve"> will be re-evaluated in the </w:t>
            </w:r>
            <w:proofErr w:type="gramStart"/>
            <w:r>
              <w:t>near-future</w:t>
            </w:r>
            <w:proofErr w:type="gramEnd"/>
            <w:r>
              <w:t xml:space="preserve"> considering both the decommissioning and long-term safety aspects.</w:t>
            </w:r>
          </w:p>
          <w:p w14:paraId="298CCA44" w14:textId="77777777" w:rsidR="00A84C71" w:rsidRDefault="00A84C71" w:rsidP="00A84C71">
            <w:pPr>
              <w:contextualSpacing/>
              <w:jc w:val="both"/>
              <w:rPr>
                <w:b/>
                <w:lang w:eastAsia="ja-JP"/>
              </w:rPr>
            </w:pPr>
          </w:p>
          <w:p w14:paraId="2075D28A" w14:textId="3758625C" w:rsidR="00A84C71" w:rsidRPr="0068582C" w:rsidRDefault="00A84C71" w:rsidP="00A84C71">
            <w:pPr>
              <w:contextualSpacing/>
              <w:jc w:val="both"/>
              <w:rPr>
                <w:bCs/>
                <w:lang w:eastAsia="ja-JP"/>
              </w:rPr>
            </w:pPr>
            <w:r>
              <w:rPr>
                <w:bCs/>
                <w:lang w:eastAsia="ja-JP"/>
              </w:rPr>
              <w:t xml:space="preserve">The safety case </w:t>
            </w:r>
            <w:r w:rsidR="0068582C">
              <w:rPr>
                <w:bCs/>
                <w:lang w:eastAsia="ja-JP"/>
              </w:rPr>
              <w:t>was</w:t>
            </w:r>
            <w:r>
              <w:rPr>
                <w:bCs/>
                <w:lang w:eastAsia="ja-JP"/>
              </w:rPr>
              <w:t xml:space="preserve"> utilised when applying for a </w:t>
            </w:r>
            <w:r w:rsidR="0068582C">
              <w:rPr>
                <w:bCs/>
                <w:lang w:eastAsia="ja-JP"/>
              </w:rPr>
              <w:t>life-time extension</w:t>
            </w:r>
            <w:r>
              <w:rPr>
                <w:bCs/>
                <w:lang w:eastAsia="ja-JP"/>
              </w:rPr>
              <w:t xml:space="preserve"> for </w:t>
            </w:r>
            <w:r w:rsidR="0068582C">
              <w:rPr>
                <w:bCs/>
                <w:lang w:eastAsia="ja-JP"/>
              </w:rPr>
              <w:t xml:space="preserve">the Loviisa </w:t>
            </w:r>
            <w:r w:rsidR="00C71C02">
              <w:rPr>
                <w:bCs/>
                <w:lang w:eastAsia="ja-JP"/>
              </w:rPr>
              <w:t xml:space="preserve">NPP and </w:t>
            </w:r>
            <w:r>
              <w:rPr>
                <w:bCs/>
                <w:lang w:eastAsia="ja-JP"/>
              </w:rPr>
              <w:t xml:space="preserve">the </w:t>
            </w:r>
            <w:r w:rsidR="004947D7">
              <w:rPr>
                <w:bCs/>
                <w:lang w:eastAsia="ja-JP"/>
              </w:rPr>
              <w:t xml:space="preserve">disposal </w:t>
            </w:r>
            <w:r>
              <w:rPr>
                <w:bCs/>
                <w:lang w:eastAsia="ja-JP"/>
              </w:rPr>
              <w:t>facility in 2022</w:t>
            </w:r>
            <w:r w:rsidR="0068582C">
              <w:rPr>
                <w:bCs/>
                <w:lang w:eastAsia="ja-JP"/>
              </w:rPr>
              <w:t>. The safety case results indicated</w:t>
            </w:r>
            <w:r w:rsidR="00C71C02">
              <w:rPr>
                <w:bCs/>
                <w:lang w:eastAsia="ja-JP"/>
              </w:rPr>
              <w:t xml:space="preserve"> that</w:t>
            </w:r>
            <w:r w:rsidR="0068582C">
              <w:rPr>
                <w:bCs/>
                <w:lang w:eastAsia="ja-JP"/>
              </w:rPr>
              <w:t xml:space="preserve"> also the wastes arising from the life-time extension can be safely disposed of in the disposal facility. T</w:t>
            </w:r>
            <w:r w:rsidR="00C71C02">
              <w:rPr>
                <w:bCs/>
                <w:lang w:eastAsia="ja-JP"/>
              </w:rPr>
              <w:t xml:space="preserve">he government granted </w:t>
            </w:r>
            <w:r w:rsidR="0068582C">
              <w:rPr>
                <w:bCs/>
                <w:lang w:eastAsia="ja-JP"/>
              </w:rPr>
              <w:t>updated licences for the NPP and disposal facility in</w:t>
            </w:r>
            <w:r w:rsidR="00C71C02">
              <w:rPr>
                <w:bCs/>
                <w:lang w:eastAsia="ja-JP"/>
              </w:rPr>
              <w:t xml:space="preserve"> 2023.</w:t>
            </w:r>
            <w:r w:rsidR="004947D7">
              <w:rPr>
                <w:bCs/>
                <w:lang w:eastAsia="ja-JP"/>
              </w:rPr>
              <w:t xml:space="preserve"> </w:t>
            </w:r>
          </w:p>
        </w:tc>
      </w:tr>
    </w:tbl>
    <w:p w14:paraId="4BFAD003" w14:textId="77777777" w:rsidR="00ED483F" w:rsidRPr="00AF3942" w:rsidRDefault="00ED483F" w:rsidP="006114A5">
      <w:pPr>
        <w:spacing w:after="0" w:line="240" w:lineRule="auto"/>
        <w:ind w:right="-188"/>
        <w:rPr>
          <w:rFonts w:cstheme="minorHAnsi"/>
          <w:b/>
          <w:lang w:eastAsia="ja-JP"/>
        </w:rPr>
      </w:pPr>
    </w:p>
    <w:sectPr w:rsidR="00ED483F" w:rsidRPr="00AF3942" w:rsidSect="006114A5">
      <w:headerReference w:type="even" r:id="rId12"/>
      <w:headerReference w:type="default" r:id="rId13"/>
      <w:footerReference w:type="even" r:id="rId14"/>
      <w:footerReference w:type="default" r:id="rId15"/>
      <w:headerReference w:type="first" r:id="rId16"/>
      <w:footerReference w:type="first" r:id="rId17"/>
      <w:pgSz w:w="11906" w:h="16838"/>
      <w:pgMar w:top="568" w:right="1440" w:bottom="284"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9FDC51" w14:textId="77777777" w:rsidR="001C5DA7" w:rsidRDefault="001C5DA7" w:rsidP="00AF3942">
      <w:pPr>
        <w:spacing w:after="0" w:line="240" w:lineRule="auto"/>
      </w:pPr>
      <w:r>
        <w:separator/>
      </w:r>
    </w:p>
  </w:endnote>
  <w:endnote w:type="continuationSeparator" w:id="0">
    <w:p w14:paraId="5882C686" w14:textId="77777777" w:rsidR="001C5DA7" w:rsidRDefault="001C5DA7" w:rsidP="00AF39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9C36BF" w14:textId="77777777" w:rsidR="00801AF9" w:rsidRDefault="00801AF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7EB650" w14:textId="77777777" w:rsidR="00801AF9" w:rsidRDefault="00801AF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6F658D" w14:textId="77777777" w:rsidR="00801AF9" w:rsidRDefault="00801AF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7D715C" w14:textId="77777777" w:rsidR="001C5DA7" w:rsidRDefault="001C5DA7" w:rsidP="00AF3942">
      <w:pPr>
        <w:spacing w:after="0" w:line="240" w:lineRule="auto"/>
      </w:pPr>
      <w:r>
        <w:separator/>
      </w:r>
    </w:p>
  </w:footnote>
  <w:footnote w:type="continuationSeparator" w:id="0">
    <w:p w14:paraId="2CDBBA50" w14:textId="77777777" w:rsidR="001C5DA7" w:rsidRDefault="001C5DA7" w:rsidP="00AF394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6D208B" w14:textId="77777777" w:rsidR="00801AF9" w:rsidRDefault="00801AF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02873D" w14:textId="77777777" w:rsidR="00801AF9" w:rsidRDefault="00801AF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1E7934" w14:textId="77777777" w:rsidR="00801AF9" w:rsidRDefault="00801AF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63659C"/>
    <w:multiLevelType w:val="hybridMultilevel"/>
    <w:tmpl w:val="9A24EBD8"/>
    <w:lvl w:ilvl="0" w:tplc="6DC6A440">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4C9F46D6"/>
    <w:multiLevelType w:val="hybridMultilevel"/>
    <w:tmpl w:val="72BE8028"/>
    <w:lvl w:ilvl="0" w:tplc="040C001B">
      <w:start w:val="1"/>
      <w:numFmt w:val="low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781C2C9E"/>
    <w:multiLevelType w:val="hybridMultilevel"/>
    <w:tmpl w:val="E6C25BB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79545E03"/>
    <w:multiLevelType w:val="hybridMultilevel"/>
    <w:tmpl w:val="B73890E6"/>
    <w:lvl w:ilvl="0" w:tplc="29D2DE16">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 w15:restartNumberingAfterBreak="0">
    <w:nsid w:val="79F86412"/>
    <w:multiLevelType w:val="hybridMultilevel"/>
    <w:tmpl w:val="8276552C"/>
    <w:lvl w:ilvl="0" w:tplc="9BBC02AC">
      <w:start w:val="1"/>
      <w:numFmt w:val="bullet"/>
      <w:lvlText w:val=""/>
      <w:lvlJc w:val="left"/>
      <w:pPr>
        <w:ind w:left="720" w:hanging="360"/>
      </w:pPr>
      <w:rPr>
        <w:rFonts w:ascii="Wingdings" w:hAnsi="Wingding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123772332">
    <w:abstractNumId w:val="1"/>
  </w:num>
  <w:num w:numId="2" w16cid:durableId="1623422739">
    <w:abstractNumId w:val="0"/>
  </w:num>
  <w:num w:numId="3" w16cid:durableId="445004281">
    <w:abstractNumId w:val="4"/>
  </w:num>
  <w:num w:numId="4" w16cid:durableId="2110664335">
    <w:abstractNumId w:val="2"/>
  </w:num>
  <w:num w:numId="5" w16cid:durableId="194761354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ocumentProtection w:formatting="1" w:enforcement="0"/>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zI1NTc1MDEwszAyMTBQ0lEKTi0uzszPAykwrAUAo/c5bSwAAAA="/>
  </w:docVars>
  <w:rsids>
    <w:rsidRoot w:val="00ED483F"/>
    <w:rsid w:val="00004843"/>
    <w:rsid w:val="00006677"/>
    <w:rsid w:val="0007338F"/>
    <w:rsid w:val="00090532"/>
    <w:rsid w:val="001215B8"/>
    <w:rsid w:val="001C5DA7"/>
    <w:rsid w:val="0024518F"/>
    <w:rsid w:val="00285532"/>
    <w:rsid w:val="002C48DA"/>
    <w:rsid w:val="003D462C"/>
    <w:rsid w:val="003D606A"/>
    <w:rsid w:val="004947D7"/>
    <w:rsid w:val="0049714D"/>
    <w:rsid w:val="004C56E5"/>
    <w:rsid w:val="005208E7"/>
    <w:rsid w:val="005A1A1A"/>
    <w:rsid w:val="006114A5"/>
    <w:rsid w:val="0067177D"/>
    <w:rsid w:val="0068582C"/>
    <w:rsid w:val="006F7677"/>
    <w:rsid w:val="007372AE"/>
    <w:rsid w:val="0077682E"/>
    <w:rsid w:val="00801AF9"/>
    <w:rsid w:val="00843BEC"/>
    <w:rsid w:val="008515AA"/>
    <w:rsid w:val="009249FD"/>
    <w:rsid w:val="009A328C"/>
    <w:rsid w:val="009C3C04"/>
    <w:rsid w:val="00A137B8"/>
    <w:rsid w:val="00A84C71"/>
    <w:rsid w:val="00AF3942"/>
    <w:rsid w:val="00B22E8F"/>
    <w:rsid w:val="00C60BC5"/>
    <w:rsid w:val="00C71C02"/>
    <w:rsid w:val="00CD5585"/>
    <w:rsid w:val="00D95838"/>
    <w:rsid w:val="00DB6830"/>
    <w:rsid w:val="00DC5759"/>
    <w:rsid w:val="00E9393C"/>
    <w:rsid w:val="00ED483F"/>
    <w:rsid w:val="00F13139"/>
    <w:rsid w:val="2F3096DB"/>
  </w:rsids>
  <m:mathPr>
    <m:mathFont m:val="Cambria Math"/>
    <m:brkBin m:val="before"/>
    <m:brkBinSub m:val="--"/>
    <m:smallFrac/>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3DE6F1"/>
  <w15:docId w15:val="{0FA063B7-122E-47E1-97C6-D7D641DC26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SimSun"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D48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D483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D483F"/>
    <w:rPr>
      <w:rFonts w:ascii="Tahoma" w:hAnsi="Tahoma" w:cs="Tahoma"/>
      <w:sz w:val="16"/>
      <w:szCs w:val="16"/>
    </w:rPr>
  </w:style>
  <w:style w:type="paragraph" w:styleId="ListParagraph">
    <w:name w:val="List Paragraph"/>
    <w:basedOn w:val="Normal"/>
    <w:uiPriority w:val="34"/>
    <w:qFormat/>
    <w:rsid w:val="00C60BC5"/>
    <w:pPr>
      <w:ind w:left="720"/>
      <w:contextualSpacing/>
    </w:pPr>
  </w:style>
  <w:style w:type="paragraph" w:styleId="FootnoteText">
    <w:name w:val="footnote text"/>
    <w:basedOn w:val="Normal"/>
    <w:link w:val="FootnoteTextChar"/>
    <w:uiPriority w:val="99"/>
    <w:semiHidden/>
    <w:unhideWhenUsed/>
    <w:rsid w:val="00AF394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F3942"/>
    <w:rPr>
      <w:sz w:val="20"/>
      <w:szCs w:val="20"/>
    </w:rPr>
  </w:style>
  <w:style w:type="character" w:styleId="FootnoteReference">
    <w:name w:val="footnote reference"/>
    <w:basedOn w:val="DefaultParagraphFont"/>
    <w:uiPriority w:val="99"/>
    <w:semiHidden/>
    <w:unhideWhenUsed/>
    <w:rsid w:val="00AF3942"/>
    <w:rPr>
      <w:vertAlign w:val="superscript"/>
    </w:rPr>
  </w:style>
  <w:style w:type="paragraph" w:styleId="Header">
    <w:name w:val="header"/>
    <w:basedOn w:val="Normal"/>
    <w:link w:val="HeaderChar"/>
    <w:uiPriority w:val="99"/>
    <w:unhideWhenUsed/>
    <w:rsid w:val="00801AF9"/>
    <w:pPr>
      <w:tabs>
        <w:tab w:val="center" w:pos="4513"/>
        <w:tab w:val="right" w:pos="9026"/>
      </w:tabs>
      <w:spacing w:after="0" w:line="240" w:lineRule="auto"/>
    </w:pPr>
  </w:style>
  <w:style w:type="character" w:customStyle="1" w:styleId="HeaderChar">
    <w:name w:val="Header Char"/>
    <w:basedOn w:val="DefaultParagraphFont"/>
    <w:link w:val="Header"/>
    <w:uiPriority w:val="99"/>
    <w:rsid w:val="00801AF9"/>
  </w:style>
  <w:style w:type="paragraph" w:styleId="Footer">
    <w:name w:val="footer"/>
    <w:basedOn w:val="Normal"/>
    <w:link w:val="FooterChar"/>
    <w:uiPriority w:val="99"/>
    <w:unhideWhenUsed/>
    <w:rsid w:val="00801AF9"/>
    <w:pPr>
      <w:tabs>
        <w:tab w:val="center" w:pos="4513"/>
        <w:tab w:val="right" w:pos="9026"/>
      </w:tabs>
      <w:spacing w:after="0" w:line="240" w:lineRule="auto"/>
    </w:pPr>
  </w:style>
  <w:style w:type="character" w:customStyle="1" w:styleId="FooterChar">
    <w:name w:val="Footer Char"/>
    <w:basedOn w:val="DefaultParagraphFont"/>
    <w:link w:val="Footer"/>
    <w:uiPriority w:val="99"/>
    <w:rsid w:val="00801AF9"/>
  </w:style>
  <w:style w:type="paragraph" w:styleId="NormalIndent">
    <w:name w:val="Normal Indent"/>
    <w:aliases w:val="Normal Indent Char Char,Normal Indent Char2 Char,Normal Indent Char Char1 Char,Normal Indent Char1 Char Char Char,Normal Indent Char Char Char Char Char,Normal Indent Char1 Char1 Char,Normal Indent Char Char Char1 Char"/>
    <w:basedOn w:val="Normal"/>
    <w:link w:val="NormalIndentChar"/>
    <w:rsid w:val="00801AF9"/>
    <w:pPr>
      <w:spacing w:after="120" w:line="240" w:lineRule="auto"/>
      <w:ind w:left="1304"/>
    </w:pPr>
    <w:rPr>
      <w:rFonts w:ascii="Times New Roman" w:eastAsia="Times New Roman" w:hAnsi="Times New Roman" w:cs="Times New Roman"/>
      <w:sz w:val="24"/>
      <w:szCs w:val="20"/>
    </w:rPr>
  </w:style>
  <w:style w:type="character" w:customStyle="1" w:styleId="NormalIndentChar">
    <w:name w:val="Normal Indent Char"/>
    <w:aliases w:val="Normal Indent Char Char Char,Normal Indent Char2 Char Char,Normal Indent Char Char1 Char Char,Normal Indent Char1 Char Char Char Char,Normal Indent Char Char Char Char Char Char,Normal Indent Char1 Char1 Char Char"/>
    <w:basedOn w:val="DefaultParagraphFont"/>
    <w:link w:val="NormalIndent"/>
    <w:rsid w:val="00801AF9"/>
    <w:rPr>
      <w:rFonts w:ascii="Times New Roman" w:eastAsia="Times New Roman" w:hAnsi="Times New Roman" w:cs="Times New Roman"/>
      <w:sz w:val="24"/>
      <w:szCs w:val="20"/>
    </w:rPr>
  </w:style>
  <w:style w:type="paragraph" w:styleId="Revision">
    <w:name w:val="Revision"/>
    <w:hidden/>
    <w:uiPriority w:val="99"/>
    <w:semiHidden/>
    <w:rsid w:val="006F7677"/>
    <w:pPr>
      <w:spacing w:after="0" w:line="240" w:lineRule="auto"/>
    </w:pPr>
  </w:style>
  <w:style w:type="character" w:styleId="CommentReference">
    <w:name w:val="annotation reference"/>
    <w:basedOn w:val="DefaultParagraphFont"/>
    <w:uiPriority w:val="99"/>
    <w:semiHidden/>
    <w:unhideWhenUsed/>
    <w:rsid w:val="00D95838"/>
    <w:rPr>
      <w:sz w:val="16"/>
      <w:szCs w:val="16"/>
    </w:rPr>
  </w:style>
  <w:style w:type="paragraph" w:styleId="CommentText">
    <w:name w:val="annotation text"/>
    <w:basedOn w:val="Normal"/>
    <w:link w:val="CommentTextChar"/>
    <w:uiPriority w:val="99"/>
    <w:unhideWhenUsed/>
    <w:rsid w:val="00D95838"/>
    <w:pPr>
      <w:spacing w:line="240" w:lineRule="auto"/>
    </w:pPr>
    <w:rPr>
      <w:sz w:val="20"/>
      <w:szCs w:val="20"/>
    </w:rPr>
  </w:style>
  <w:style w:type="character" w:customStyle="1" w:styleId="CommentTextChar">
    <w:name w:val="Comment Text Char"/>
    <w:basedOn w:val="DefaultParagraphFont"/>
    <w:link w:val="CommentText"/>
    <w:uiPriority w:val="99"/>
    <w:rsid w:val="00D95838"/>
    <w:rPr>
      <w:sz w:val="20"/>
      <w:szCs w:val="20"/>
    </w:rPr>
  </w:style>
  <w:style w:type="paragraph" w:styleId="CommentSubject">
    <w:name w:val="annotation subject"/>
    <w:basedOn w:val="CommentText"/>
    <w:next w:val="CommentText"/>
    <w:link w:val="CommentSubjectChar"/>
    <w:uiPriority w:val="99"/>
    <w:semiHidden/>
    <w:unhideWhenUsed/>
    <w:rsid w:val="00D95838"/>
    <w:rPr>
      <w:b/>
      <w:bCs/>
    </w:rPr>
  </w:style>
  <w:style w:type="character" w:customStyle="1" w:styleId="CommentSubjectChar">
    <w:name w:val="Comment Subject Char"/>
    <w:basedOn w:val="CommentTextChar"/>
    <w:link w:val="CommentSubject"/>
    <w:uiPriority w:val="99"/>
    <w:semiHidden/>
    <w:rsid w:val="00D95838"/>
    <w:rPr>
      <w:b/>
      <w:bCs/>
      <w:sz w:val="20"/>
      <w:szCs w:val="20"/>
    </w:rPr>
  </w:style>
  <w:style w:type="character" w:styleId="Hyperlink">
    <w:name w:val="Hyperlink"/>
    <w:basedOn w:val="DefaultParagraphFont"/>
    <w:uiPriority w:val="99"/>
    <w:unhideWhenUsed/>
    <w:rsid w:val="008515AA"/>
    <w:rPr>
      <w:color w:val="0000FF" w:themeColor="hyperlink"/>
      <w:u w:val="single"/>
    </w:rPr>
  </w:style>
  <w:style w:type="character" w:styleId="UnresolvedMention">
    <w:name w:val="Unresolved Mention"/>
    <w:basedOn w:val="DefaultParagraphFont"/>
    <w:uiPriority w:val="99"/>
    <w:semiHidden/>
    <w:unhideWhenUsed/>
    <w:rsid w:val="008515A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3961686">
      <w:bodyDiv w:val="1"/>
      <w:marLeft w:val="0"/>
      <w:marRight w:val="0"/>
      <w:marTop w:val="0"/>
      <w:marBottom w:val="0"/>
      <w:divBdr>
        <w:top w:val="none" w:sz="0" w:space="0" w:color="auto"/>
        <w:left w:val="none" w:sz="0" w:space="0" w:color="auto"/>
        <w:bottom w:val="none" w:sz="0" w:space="0" w:color="auto"/>
        <w:right w:val="none" w:sz="0" w:space="0" w:color="auto"/>
      </w:divBdr>
    </w:div>
    <w:div w:id="566576118">
      <w:bodyDiv w:val="1"/>
      <w:marLeft w:val="0"/>
      <w:marRight w:val="0"/>
      <w:marTop w:val="0"/>
      <w:marBottom w:val="0"/>
      <w:divBdr>
        <w:top w:val="none" w:sz="0" w:space="0" w:color="auto"/>
        <w:left w:val="none" w:sz="0" w:space="0" w:color="auto"/>
        <w:bottom w:val="none" w:sz="0" w:space="0" w:color="auto"/>
        <w:right w:val="none" w:sz="0" w:space="0" w:color="auto"/>
      </w:divBdr>
    </w:div>
    <w:div w:id="1928801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olli.nummi@fortum.com"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2FAEBA6069C9F458C0085404E0C5FFE" ma:contentTypeVersion="" ma:contentTypeDescription="Create a new document." ma:contentTypeScope="" ma:versionID="9e5f56484816f7923b6b3c02cbefb700">
  <xsd:schema xmlns:xsd="http://www.w3.org/2001/XMLSchema" xmlns:xs="http://www.w3.org/2001/XMLSchema" xmlns:p="http://schemas.microsoft.com/office/2006/metadata/properties" xmlns:ns2="947f5427-ef21-4d0b-b5d2-e3eadf686f4e" targetNamespace="http://schemas.microsoft.com/office/2006/metadata/properties" ma:root="true" ma:fieldsID="a755e104c1f5ec79cddfc1aa08f3fdd2" ns2:_="">
    <xsd:import namespace="947f5427-ef21-4d0b-b5d2-e3eadf686f4e"/>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7f5427-ef21-4d0b-b5d2-e3eadf686f4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9F7FED7-5CF8-4340-B241-1BAFB114BC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7f5427-ef21-4d0b-b5d2-e3eadf686f4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DDE5EB0-DE97-438D-BB23-C0AC4E877004}">
  <ds:schemaRefs>
    <ds:schemaRef ds:uri="http://schemas.microsoft.com/sharepoint/v3/contenttype/forms"/>
  </ds:schemaRefs>
</ds:datastoreItem>
</file>

<file path=customXml/itemProps3.xml><?xml version="1.0" encoding="utf-8"?>
<ds:datastoreItem xmlns:ds="http://schemas.openxmlformats.org/officeDocument/2006/customXml" ds:itemID="{B04EB301-587C-445D-90CC-C0DA1F27AA28}">
  <ds:schemaRefs>
    <ds:schemaRef ds:uri="http://schemas.openxmlformats.org/officeDocument/2006/bibliography"/>
  </ds:schemaRefs>
</ds:datastoreItem>
</file>

<file path=customXml/itemProps4.xml><?xml version="1.0" encoding="utf-8"?>
<ds:datastoreItem xmlns:ds="http://schemas.openxmlformats.org/officeDocument/2006/customXml" ds:itemID="{25EBECA8-FA09-4A23-9002-4EB15D4A06D0}">
  <ds:schemaRefs>
    <ds:schemaRef ds:uri="http://purl.org/dc/elements/1.1/"/>
    <ds:schemaRef ds:uri="http://www.w3.org/XML/1998/namespace"/>
    <ds:schemaRef ds:uri="http://schemas.microsoft.com/office/infopath/2007/PartnerControls"/>
    <ds:schemaRef ds:uri="http://schemas.microsoft.com/office/2006/documentManagement/types"/>
    <ds:schemaRef ds:uri="http://purl.org/dc/terms/"/>
    <ds:schemaRef ds:uri="http://schemas.openxmlformats.org/package/2006/metadata/core-properties"/>
    <ds:schemaRef ds:uri="947f5427-ef21-4d0b-b5d2-e3eadf686f4e"/>
    <ds:schemaRef ds:uri="http://schemas.microsoft.com/office/2006/metadata/properties"/>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526</Words>
  <Characters>2872</Characters>
  <Application>Microsoft Office Word</Application>
  <DocSecurity>0</DocSecurity>
  <Lines>58</Lines>
  <Paragraphs>31</Paragraphs>
  <ScaleCrop>false</ScaleCrop>
  <Company>Microsoft</Company>
  <LinksUpToDate>false</LinksUpToDate>
  <CharactersWithSpaces>3367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KWONG Gloria, NEA/PR</dc:creator>
  <cp:lastModifiedBy>MEKKI Soufiane, NEA/RWMD</cp:lastModifiedBy>
  <cp:revision>4</cp:revision>
  <dcterms:created xsi:type="dcterms:W3CDTF">2024-05-27T07:39:00Z</dcterms:created>
  <dcterms:modified xsi:type="dcterms:W3CDTF">2024-05-29T14:10:00Z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45044c0-b6aa-4b2b-834d-65c9ef8bb134_Enabled">
    <vt:lpwstr>true</vt:lpwstr>
  </property>
  <property fmtid="{D5CDD505-2E9C-101B-9397-08002B2CF9AE}" pid="3" name="MSIP_Label_f45044c0-b6aa-4b2b-834d-65c9ef8bb134_SetDate">
    <vt:lpwstr>2024-02-01T11:38:13Z</vt:lpwstr>
  </property>
  <property fmtid="{D5CDD505-2E9C-101B-9397-08002B2CF9AE}" pid="4" name="MSIP_Label_f45044c0-b6aa-4b2b-834d-65c9ef8bb134_Method">
    <vt:lpwstr>Standard</vt:lpwstr>
  </property>
  <property fmtid="{D5CDD505-2E9C-101B-9397-08002B2CF9AE}" pid="5" name="MSIP_Label_f45044c0-b6aa-4b2b-834d-65c9ef8bb134_Name">
    <vt:lpwstr>f45044c0-b6aa-4b2b-834d-65c9ef8bb134</vt:lpwstr>
  </property>
  <property fmtid="{D5CDD505-2E9C-101B-9397-08002B2CF9AE}" pid="6" name="MSIP_Label_f45044c0-b6aa-4b2b-834d-65c9ef8bb134_SiteId">
    <vt:lpwstr>62a9c2c8-8b09-43be-a7fb-9a87875714a9</vt:lpwstr>
  </property>
  <property fmtid="{D5CDD505-2E9C-101B-9397-08002B2CF9AE}" pid="7" name="MSIP_Label_f45044c0-b6aa-4b2b-834d-65c9ef8bb134_ActionId">
    <vt:lpwstr>6254bbc4-c1b6-4794-b94e-3fa0ec116060</vt:lpwstr>
  </property>
  <property fmtid="{D5CDD505-2E9C-101B-9397-08002B2CF9AE}" pid="8" name="MSIP_Label_f45044c0-b6aa-4b2b-834d-65c9ef8bb134_ContentBits">
    <vt:lpwstr>0</vt:lpwstr>
  </property>
  <property fmtid="{D5CDD505-2E9C-101B-9397-08002B2CF9AE}" pid="9" name="ContentTypeId">
    <vt:lpwstr>0x01010002FAEBA6069C9F458C0085404E0C5FFE</vt:lpwstr>
  </property>
  <property fmtid="{D5CDD505-2E9C-101B-9397-08002B2CF9AE}" pid="10" name="FortumDMProcess">
    <vt:lpwstr/>
  </property>
  <property fmtid="{D5CDD505-2E9C-101B-9397-08002B2CF9AE}" pid="11" name="FortumDMOrganisation">
    <vt:lpwstr>7;#Generation|241fb01e-3c61-4e61-b052-e29020ecdab4</vt:lpwstr>
  </property>
  <property fmtid="{D5CDD505-2E9C-101B-9397-08002B2CF9AE}" pid="12" name="FortumDMLocation">
    <vt:lpwstr/>
  </property>
  <property fmtid="{D5CDD505-2E9C-101B-9397-08002B2CF9AE}" pid="13" name="FortumDMConfidentiality">
    <vt:lpwstr/>
  </property>
  <property fmtid="{D5CDD505-2E9C-101B-9397-08002B2CF9AE}" pid="14" name="FortumDMPowerPlant">
    <vt:lpwstr/>
  </property>
  <property fmtid="{D5CDD505-2E9C-101B-9397-08002B2CF9AE}" pid="15" name="FortumDMApprovalStatus">
    <vt:lpwstr/>
  </property>
  <property fmtid="{D5CDD505-2E9C-101B-9397-08002B2CF9AE}" pid="16" name="FortumDMLanguage">
    <vt:lpwstr/>
  </property>
  <property fmtid="{D5CDD505-2E9C-101B-9397-08002B2CF9AE}" pid="17" name="FortumDMDocumentType">
    <vt:lpwstr/>
  </property>
  <property fmtid="{D5CDD505-2E9C-101B-9397-08002B2CF9AE}" pid="18" name="_dlc_DocIdItemGuid">
    <vt:lpwstr>b03ea37b-8e55-43cb-a5c9-8674de49c550</vt:lpwstr>
  </property>
  <property fmtid="{D5CDD505-2E9C-101B-9397-08002B2CF9AE}" pid="19" name="FortumDMApprovalStatusTaxHTField0">
    <vt:lpwstr/>
  </property>
  <property fmtid="{D5CDD505-2E9C-101B-9397-08002B2CF9AE}" pid="20" name="FortumDMDocumentTypeTaxHTField0">
    <vt:lpwstr/>
  </property>
  <property fmtid="{D5CDD505-2E9C-101B-9397-08002B2CF9AE}" pid="21" name="FortumDMOrganisationTaxHTField0">
    <vt:lpwstr>Generation|241fb01e-3c61-4e61-b052-e29020ecdab4</vt:lpwstr>
  </property>
  <property fmtid="{D5CDD505-2E9C-101B-9397-08002B2CF9AE}" pid="22" name="FortumDMLanguageTaxHTField0">
    <vt:lpwstr/>
  </property>
  <property fmtid="{D5CDD505-2E9C-101B-9397-08002B2CF9AE}" pid="23" name="FortumDMConfidentialityTaxHTField0">
    <vt:lpwstr/>
  </property>
  <property fmtid="{D5CDD505-2E9C-101B-9397-08002B2CF9AE}" pid="24" name="FortumDMProcessTaxHTField0">
    <vt:lpwstr/>
  </property>
  <property fmtid="{D5CDD505-2E9C-101B-9397-08002B2CF9AE}" pid="25" name="FortumDMPowerPlantTaxHTField0">
    <vt:lpwstr/>
  </property>
  <property fmtid="{D5CDD505-2E9C-101B-9397-08002B2CF9AE}" pid="26" name="FortumDMLocationTaxHTField0">
    <vt:lpwstr/>
  </property>
</Properties>
</file>