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FB64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50AD91C3" w14:textId="77777777" w:rsidR="00ED483F" w:rsidRPr="00D66730" w:rsidRDefault="00ED483F" w:rsidP="00ED483F">
      <w:pPr>
        <w:spacing w:after="0" w:line="240" w:lineRule="auto"/>
        <w:ind w:right="-188"/>
        <w:jc w:val="center"/>
        <w:rPr>
          <w:rFonts w:cstheme="minorHAnsi"/>
          <w:b/>
          <w:color w:val="000000" w:themeColor="text1"/>
        </w:rPr>
      </w:pPr>
    </w:p>
    <w:tbl>
      <w:tblPr>
        <w:tblStyle w:val="TableGrid"/>
        <w:tblW w:w="9083" w:type="dxa"/>
        <w:tblLook w:val="04A0" w:firstRow="1" w:lastRow="0" w:firstColumn="1" w:lastColumn="0" w:noHBand="0" w:noVBand="1"/>
      </w:tblPr>
      <w:tblGrid>
        <w:gridCol w:w="5707"/>
        <w:gridCol w:w="3376"/>
      </w:tblGrid>
      <w:tr w:rsidR="00D66730" w:rsidRPr="00D66730" w14:paraId="60547353" w14:textId="77777777" w:rsidTr="00D66730">
        <w:trPr>
          <w:trHeight w:val="432"/>
        </w:trPr>
        <w:tc>
          <w:tcPr>
            <w:tcW w:w="5707" w:type="dxa"/>
          </w:tcPr>
          <w:p w14:paraId="2DBDCB72" w14:textId="2B6EB2E7" w:rsidR="00ED483F" w:rsidRPr="00D66730" w:rsidRDefault="00ED483F" w:rsidP="002B0699">
            <w:pPr>
              <w:spacing w:before="60" w:after="60"/>
              <w:rPr>
                <w:rFonts w:cstheme="minorHAnsi"/>
                <w:b/>
                <w:color w:val="000000" w:themeColor="text1"/>
              </w:rPr>
            </w:pPr>
            <w:r w:rsidRPr="00D66730">
              <w:rPr>
                <w:rFonts w:cstheme="minorHAnsi"/>
                <w:b/>
                <w:color w:val="000000" w:themeColor="text1"/>
              </w:rPr>
              <w:t>Abstract Number</w:t>
            </w:r>
            <w:r w:rsidR="00AF3942" w:rsidRPr="00D66730">
              <w:rPr>
                <w:rFonts w:cstheme="minorHAnsi" w:hint="eastAsia"/>
                <w:b/>
                <w:color w:val="000000" w:themeColor="text1"/>
                <w:lang w:eastAsia="ja-JP"/>
              </w:rPr>
              <w:t>:</w:t>
            </w:r>
            <w:r w:rsidR="00285532"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 </w:t>
            </w:r>
            <w:r w:rsidR="00F119A1">
              <w:rPr>
                <w:rFonts w:cstheme="minorHAnsi"/>
                <w:b/>
                <w:color w:val="000000" w:themeColor="text1"/>
                <w:lang w:eastAsia="ja-JP"/>
              </w:rPr>
              <w:t>84</w:t>
            </w:r>
          </w:p>
        </w:tc>
        <w:tc>
          <w:tcPr>
            <w:tcW w:w="3376" w:type="dxa"/>
          </w:tcPr>
          <w:p w14:paraId="65329394" w14:textId="5A1ADB54" w:rsidR="00ED483F" w:rsidRPr="00D66730" w:rsidRDefault="00864F84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>
              <w:rPr>
                <w:rFonts w:cstheme="minorHAnsi"/>
                <w:b/>
                <w:color w:val="000000" w:themeColor="text1"/>
                <w:lang w:eastAsia="ja-JP"/>
              </w:rPr>
              <w:t>Session 6.2.5</w:t>
            </w:r>
          </w:p>
        </w:tc>
      </w:tr>
      <w:tr w:rsidR="00D66730" w:rsidRPr="00033158" w14:paraId="0837F891" w14:textId="77777777" w:rsidTr="00D66730">
        <w:trPr>
          <w:trHeight w:val="516"/>
        </w:trPr>
        <w:tc>
          <w:tcPr>
            <w:tcW w:w="9083" w:type="dxa"/>
            <w:gridSpan w:val="2"/>
          </w:tcPr>
          <w:p w14:paraId="22D919D6" w14:textId="77777777" w:rsidR="00C60BC5" w:rsidRPr="00FD3AD9" w:rsidRDefault="00ED483F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val="fr-BE" w:eastAsia="ja-JP"/>
              </w:rPr>
            </w:pPr>
            <w:r w:rsidRPr="00FD3AD9">
              <w:rPr>
                <w:rFonts w:cstheme="minorHAnsi"/>
                <w:b/>
                <w:color w:val="000000" w:themeColor="text1"/>
                <w:lang w:val="fr-BE"/>
              </w:rPr>
              <w:t>Author</w:t>
            </w:r>
            <w:r w:rsidR="00AF3942" w:rsidRPr="00FD3AD9">
              <w:rPr>
                <w:rFonts w:cstheme="minorHAnsi"/>
                <w:b/>
                <w:color w:val="000000" w:themeColor="text1"/>
                <w:lang w:val="fr-BE" w:eastAsia="ja-JP"/>
              </w:rPr>
              <w:t>:</w:t>
            </w:r>
          </w:p>
          <w:p w14:paraId="7DC0E2AE" w14:textId="47E362F3" w:rsidR="00AF3942" w:rsidRPr="00864F84" w:rsidRDefault="00590BB0" w:rsidP="002B0699">
            <w:pPr>
              <w:spacing w:before="60" w:after="60"/>
              <w:rPr>
                <w:rFonts w:cstheme="minorHAnsi"/>
                <w:bCs/>
                <w:color w:val="000000" w:themeColor="text1"/>
                <w:lang w:val="fr-FR" w:eastAsia="ja-JP"/>
              </w:rPr>
            </w:pPr>
            <w:r w:rsidRPr="00590BB0">
              <w:rPr>
                <w:rFonts w:cstheme="minorHAnsi"/>
                <w:b/>
                <w:color w:val="000000" w:themeColor="text1"/>
                <w:lang w:val="fr-FR" w:eastAsia="ja-JP"/>
              </w:rPr>
              <w:t>Virginie Wasselin</w:t>
            </w:r>
            <w:r w:rsidRPr="00864F84">
              <w:rPr>
                <w:rFonts w:cstheme="minorHAnsi"/>
                <w:bCs/>
                <w:color w:val="000000" w:themeColor="text1"/>
                <w:vertAlign w:val="superscript"/>
                <w:lang w:val="fr-FR" w:eastAsia="ja-JP"/>
              </w:rPr>
              <w:t>1</w:t>
            </w:r>
            <w:r w:rsidR="00B63432"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>(</w:t>
            </w:r>
            <w:hyperlink r:id="rId11" w:history="1">
              <w:r w:rsidR="00B63432" w:rsidRPr="00864F84">
                <w:rPr>
                  <w:rStyle w:val="Hyperlink"/>
                  <w:rFonts w:cstheme="minorHAnsi"/>
                  <w:bCs/>
                  <w:lang w:val="fr-FR" w:eastAsia="ja-JP"/>
                </w:rPr>
                <w:t>virginie.wasselin@andra.fr</w:t>
              </w:r>
            </w:hyperlink>
            <w:r w:rsidR="00B63432"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 xml:space="preserve"> ),</w:t>
            </w:r>
            <w:r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 xml:space="preserve"> Manuel Cap</w:t>
            </w:r>
            <w:r w:rsidR="00033158">
              <w:rPr>
                <w:rFonts w:cstheme="minorHAnsi"/>
                <w:bCs/>
                <w:color w:val="000000" w:themeColor="text1"/>
                <w:lang w:val="fr-FR" w:eastAsia="ja-JP"/>
              </w:rPr>
              <w:t>o</w:t>
            </w:r>
            <w:r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>uet</w:t>
            </w:r>
            <w:r w:rsidRPr="00864F84">
              <w:rPr>
                <w:rFonts w:cstheme="minorHAnsi"/>
                <w:bCs/>
                <w:color w:val="000000" w:themeColor="text1"/>
                <w:vertAlign w:val="superscript"/>
                <w:lang w:val="fr-FR" w:eastAsia="ja-JP"/>
              </w:rPr>
              <w:t>2</w:t>
            </w:r>
            <w:r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>, Sylvie Voinis</w:t>
            </w:r>
            <w:r w:rsidRPr="00864F84">
              <w:rPr>
                <w:rFonts w:cstheme="minorHAnsi"/>
                <w:bCs/>
                <w:color w:val="000000" w:themeColor="text1"/>
                <w:vertAlign w:val="superscript"/>
                <w:lang w:val="fr-FR" w:eastAsia="ja-JP"/>
              </w:rPr>
              <w:t>1</w:t>
            </w:r>
            <w:r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>, Sacha Schiffmann</w:t>
            </w:r>
            <w:r w:rsidRPr="00864F84">
              <w:rPr>
                <w:rFonts w:cstheme="minorHAnsi"/>
                <w:bCs/>
                <w:color w:val="000000" w:themeColor="text1"/>
                <w:vertAlign w:val="superscript"/>
                <w:lang w:val="fr-FR" w:eastAsia="ja-JP"/>
              </w:rPr>
              <w:t>2</w:t>
            </w:r>
            <w:r w:rsidR="00B63432"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 xml:space="preserve">, </w:t>
            </w:r>
            <w:r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>Peter De Preter</w:t>
            </w:r>
            <w:r w:rsidRPr="00864F84">
              <w:rPr>
                <w:rFonts w:cstheme="minorHAnsi"/>
                <w:bCs/>
                <w:color w:val="000000" w:themeColor="text1"/>
                <w:vertAlign w:val="superscript"/>
                <w:lang w:val="fr-FR" w:eastAsia="ja-JP"/>
              </w:rPr>
              <w:t>2</w:t>
            </w:r>
            <w:r w:rsidR="00B63432"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 xml:space="preserve">, </w:t>
            </w:r>
            <w:r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 xml:space="preserve"> Cyril </w:t>
            </w:r>
            <w:proofErr w:type="spellStart"/>
            <w:r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>Hemery</w:t>
            </w:r>
            <w:proofErr w:type="spellEnd"/>
            <w:r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 xml:space="preserve"> </w:t>
            </w:r>
            <w:r w:rsidRPr="00864F84">
              <w:rPr>
                <w:rFonts w:cstheme="minorHAnsi"/>
                <w:bCs/>
                <w:color w:val="000000" w:themeColor="text1"/>
                <w:vertAlign w:val="superscript"/>
                <w:lang w:val="fr-FR" w:eastAsia="ja-JP"/>
              </w:rPr>
              <w:t>1</w:t>
            </w:r>
          </w:p>
          <w:p w14:paraId="6167F13A" w14:textId="0A4AC6EF" w:rsidR="00AF3942" w:rsidRPr="00864F84" w:rsidRDefault="00590BB0" w:rsidP="002B0699">
            <w:pPr>
              <w:spacing w:before="60" w:after="60"/>
              <w:rPr>
                <w:rFonts w:cstheme="minorHAnsi"/>
                <w:bCs/>
                <w:color w:val="000000" w:themeColor="text1"/>
                <w:lang w:val="fr-FR" w:eastAsia="ja-JP"/>
              </w:rPr>
            </w:pPr>
            <w:r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>1.Andra</w:t>
            </w:r>
            <w:r w:rsidR="00B63432"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 xml:space="preserve">, France </w:t>
            </w:r>
          </w:p>
          <w:p w14:paraId="6BC53966" w14:textId="1F1069A7" w:rsidR="00812A19" w:rsidRPr="00864F84" w:rsidRDefault="00590BB0" w:rsidP="00864F84">
            <w:pPr>
              <w:spacing w:before="60" w:after="60"/>
              <w:rPr>
                <w:rFonts w:cstheme="minorHAnsi"/>
                <w:bCs/>
                <w:color w:val="000000" w:themeColor="text1"/>
                <w:lang w:val="fr-FR" w:eastAsia="ja-JP"/>
              </w:rPr>
            </w:pPr>
            <w:r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 xml:space="preserve">2. ONDRAF/NIRAS </w:t>
            </w:r>
            <w:r w:rsidR="00B63432"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 xml:space="preserve">, </w:t>
            </w:r>
            <w:proofErr w:type="spellStart"/>
            <w:r w:rsidR="00B63432"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>Belgium</w:t>
            </w:r>
            <w:proofErr w:type="spellEnd"/>
            <w:r w:rsidR="00B63432" w:rsidRPr="00864F84">
              <w:rPr>
                <w:rFonts w:cstheme="minorHAnsi"/>
                <w:bCs/>
                <w:color w:val="000000" w:themeColor="text1"/>
                <w:lang w:val="fr-FR" w:eastAsia="ja-JP"/>
              </w:rPr>
              <w:t xml:space="preserve"> </w:t>
            </w:r>
          </w:p>
        </w:tc>
      </w:tr>
      <w:tr w:rsidR="00D66730" w:rsidRPr="00D66730" w14:paraId="330BCA96" w14:textId="77777777" w:rsidTr="00D66730">
        <w:trPr>
          <w:trHeight w:val="1067"/>
        </w:trPr>
        <w:tc>
          <w:tcPr>
            <w:tcW w:w="9083" w:type="dxa"/>
            <w:gridSpan w:val="2"/>
          </w:tcPr>
          <w:p w14:paraId="0223D0BE" w14:textId="13F85B2A" w:rsidR="00C60BC5" w:rsidRPr="00D66730" w:rsidRDefault="00285532" w:rsidP="00864F84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Abstract </w:t>
            </w:r>
            <w:r w:rsidR="00ED483F" w:rsidRPr="00D66730">
              <w:rPr>
                <w:rFonts w:cstheme="minorHAnsi"/>
                <w:b/>
                <w:color w:val="000000" w:themeColor="text1"/>
              </w:rPr>
              <w:t>Title</w:t>
            </w:r>
            <w:r w:rsidR="00AF3942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  <w:r w:rsidR="009A56AA">
              <w:rPr>
                <w:rFonts w:cstheme="minorHAnsi"/>
                <w:b/>
                <w:color w:val="000000" w:themeColor="text1"/>
                <w:lang w:eastAsia="ja-JP"/>
              </w:rPr>
              <w:t xml:space="preserve"> Application of the graded approach to the long-term management of low level long lived waste : Preliminary </w:t>
            </w:r>
            <w:r w:rsidR="00590BB0">
              <w:rPr>
                <w:rFonts w:cstheme="minorHAnsi"/>
                <w:b/>
                <w:color w:val="000000" w:themeColor="text1"/>
                <w:lang w:eastAsia="ja-JP"/>
              </w:rPr>
              <w:t xml:space="preserve">outcomes </w:t>
            </w:r>
            <w:r w:rsidR="009A56AA">
              <w:rPr>
                <w:rFonts w:cstheme="minorHAnsi"/>
                <w:b/>
                <w:color w:val="000000" w:themeColor="text1"/>
                <w:lang w:eastAsia="ja-JP"/>
              </w:rPr>
              <w:t>of a seminar of the IGSC “graded approach” group</w:t>
            </w:r>
          </w:p>
        </w:tc>
      </w:tr>
      <w:tr w:rsidR="00D66730" w:rsidRPr="00D66730" w14:paraId="336BE7D3" w14:textId="77777777" w:rsidTr="00D66730">
        <w:trPr>
          <w:trHeight w:val="3307"/>
        </w:trPr>
        <w:tc>
          <w:tcPr>
            <w:tcW w:w="9083" w:type="dxa"/>
            <w:gridSpan w:val="2"/>
            <w:tcBorders>
              <w:bottom w:val="single" w:sz="4" w:space="0" w:color="auto"/>
            </w:tcBorders>
          </w:tcPr>
          <w:p w14:paraId="5D4B9EA3" w14:textId="77777777" w:rsidR="00285532" w:rsidRDefault="00AF394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  <w:lang w:eastAsia="ja-JP"/>
              </w:rPr>
              <w:t>Abstract (300-500 words)</w:t>
            </w:r>
            <w:r w:rsidR="003D606A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</w:p>
          <w:p w14:paraId="50913A53" w14:textId="6C648C96" w:rsidR="00D802CB" w:rsidRPr="00864F84" w:rsidRDefault="00D802CB" w:rsidP="00864F84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bookmarkStart w:id="0" w:name="_Hlk164960830"/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The radioactive waste repository programmes have acquired considerable experience in developing and updating safety cases for</w:t>
            </w:r>
            <w:r w:rsidR="005314CB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the d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isposal </w:t>
            </w:r>
            <w:r w:rsidR="005314CB" w:rsidRPr="00864F84">
              <w:rPr>
                <w:rFonts w:cstheme="minorHAnsi"/>
                <w:bCs/>
                <w:color w:val="000000" w:themeColor="text1"/>
                <w:lang w:eastAsia="ja-JP"/>
              </w:rPr>
              <w:t>of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low-level short-lived waste (LLW-SL) in near surface disposal (NSD)</w:t>
            </w:r>
            <w:r w:rsidR="005314CB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and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for deep geological disposal (DGR) </w:t>
            </w:r>
            <w:r w:rsidR="00FE26BB" w:rsidRPr="00864F84">
              <w:rPr>
                <w:rFonts w:cstheme="minorHAnsi"/>
                <w:bCs/>
                <w:color w:val="000000" w:themeColor="text1"/>
                <w:lang w:eastAsia="ja-JP"/>
              </w:rPr>
              <w:t>of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intermediate </w:t>
            </w:r>
            <w:r w:rsidR="00FE26BB" w:rsidRPr="00864F84">
              <w:rPr>
                <w:rFonts w:cstheme="minorHAnsi"/>
                <w:bCs/>
                <w:color w:val="000000" w:themeColor="text1"/>
                <w:lang w:eastAsia="ja-JP"/>
              </w:rPr>
              <w:t>and high</w:t>
            </w:r>
            <w:r w:rsidR="005314CB" w:rsidRPr="00864F84">
              <w:rPr>
                <w:rFonts w:cstheme="minorHAnsi"/>
                <w:bCs/>
                <w:color w:val="000000" w:themeColor="text1"/>
                <w:lang w:eastAsia="ja-JP"/>
              </w:rPr>
              <w:t>-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level long-lived waste. While 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many of 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these </w:t>
            </w:r>
            <w:r w:rsidR="005314CB" w:rsidRPr="00864F84">
              <w:rPr>
                <w:rFonts w:cstheme="minorHAnsi"/>
                <w:bCs/>
                <w:color w:val="000000" w:themeColor="text1"/>
                <w:lang w:eastAsia="ja-JP"/>
              </w:rPr>
              <w:t>disposals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are 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>either operational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or close to implementation, some countries are still facing the </w:t>
            </w:r>
            <w:r w:rsidR="00BA4922" w:rsidRPr="00864F84">
              <w:rPr>
                <w:rFonts w:cstheme="minorHAnsi"/>
                <w:bCs/>
                <w:color w:val="000000" w:themeColor="text1"/>
                <w:lang w:eastAsia="ja-JP"/>
              </w:rPr>
              <w:t>disposal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of specific waste types, </w:t>
            </w:r>
            <w:r w:rsidR="005314CB" w:rsidRPr="00864F84">
              <w:rPr>
                <w:rFonts w:cstheme="minorHAnsi"/>
                <w:bCs/>
                <w:color w:val="000000" w:themeColor="text1"/>
                <w:lang w:eastAsia="ja-JP"/>
              </w:rPr>
              <w:t>such as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low-level long-lived waste (LLW-LL)</w:t>
            </w:r>
            <w:r w:rsidR="005314CB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, </w:t>
            </w:r>
            <w:r w:rsidR="0022489F" w:rsidRPr="00864F84">
              <w:rPr>
                <w:rFonts w:cstheme="minorHAnsi"/>
                <w:bCs/>
                <w:color w:val="000000" w:themeColor="text1"/>
                <w:lang w:eastAsia="ja-JP"/>
              </w:rPr>
              <w:t>characteri</w:t>
            </w:r>
            <w:r w:rsidR="005314CB" w:rsidRPr="00864F84">
              <w:rPr>
                <w:rFonts w:cstheme="minorHAnsi"/>
                <w:bCs/>
                <w:color w:val="000000" w:themeColor="text1"/>
                <w:lang w:eastAsia="ja-JP"/>
              </w:rPr>
              <w:t>z</w:t>
            </w:r>
            <w:r w:rsidR="0022489F" w:rsidRPr="00864F84">
              <w:rPr>
                <w:rFonts w:cstheme="minorHAnsi"/>
                <w:bCs/>
                <w:color w:val="000000" w:themeColor="text1"/>
                <w:lang w:eastAsia="ja-JP"/>
              </w:rPr>
              <w:t>ed by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low specific activities</w:t>
            </w:r>
            <w:r w:rsidR="0022489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, the presence of 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long-lived radionuclides and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BA4922" w:rsidRPr="00864F84">
              <w:rPr>
                <w:rFonts w:cstheme="minorHAnsi"/>
                <w:bCs/>
                <w:color w:val="000000" w:themeColor="text1"/>
                <w:lang w:eastAsia="ja-JP"/>
              </w:rPr>
              <w:t>the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produc</w:t>
            </w:r>
            <w:r w:rsidR="00BA4922" w:rsidRPr="00864F84">
              <w:rPr>
                <w:rFonts w:cstheme="minorHAnsi"/>
                <w:bCs/>
                <w:color w:val="000000" w:themeColor="text1"/>
                <w:lang w:eastAsia="ja-JP"/>
              </w:rPr>
              <w:t>tion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in large volume</w:t>
            </w:r>
            <w:r w:rsidR="0022489F" w:rsidRPr="00864F84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. </w:t>
            </w:r>
            <w:r w:rsidR="00BA4922" w:rsidRPr="00864F84">
              <w:rPr>
                <w:rFonts w:cstheme="minorHAnsi"/>
                <w:bCs/>
                <w:color w:val="000000" w:themeColor="text1"/>
                <w:lang w:eastAsia="ja-JP"/>
              </w:rPr>
              <w:t>LLW-LL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BA4922" w:rsidRPr="00864F84">
              <w:rPr>
                <w:rFonts w:cstheme="minorHAnsi"/>
                <w:bCs/>
                <w:color w:val="000000" w:themeColor="text1"/>
                <w:lang w:eastAsia="ja-JP"/>
              </w:rPr>
              <w:t>includes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graphite waste, radium or uranium bearing waste, depleted uranium or waste generated from non-nuclear activities</w:t>
            </w:r>
            <w:r w:rsidR="0022489F" w:rsidRPr="00864F84">
              <w:rPr>
                <w:rFonts w:cstheme="minorHAnsi"/>
                <w:bCs/>
                <w:color w:val="000000" w:themeColor="text1"/>
                <w:lang w:eastAsia="ja-JP"/>
              </w:rPr>
              <w:t>.</w:t>
            </w:r>
            <w:r w:rsidR="00BA4922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The long-term 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>manage</w:t>
            </w:r>
            <w:r w:rsidR="00BA4922" w:rsidRPr="00864F84">
              <w:rPr>
                <w:rFonts w:cstheme="minorHAnsi"/>
                <w:bCs/>
                <w:color w:val="000000" w:themeColor="text1"/>
                <w:lang w:eastAsia="ja-JP"/>
              </w:rPr>
              <w:t>ment of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this category of waste</w:t>
            </w:r>
            <w:r w:rsidR="00BA4922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leads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national programs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to optimise/revise the safety concept of their existing disposal facilities or to investigate specific disposal concepts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, </w:t>
            </w:r>
            <w:r w:rsidR="0022489F" w:rsidRPr="00864F84">
              <w:rPr>
                <w:rFonts w:cstheme="minorHAnsi"/>
                <w:bCs/>
                <w:color w:val="000000" w:themeColor="text1"/>
                <w:lang w:eastAsia="ja-JP"/>
              </w:rPr>
              <w:t>such as shallow or intermediate depth disposal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. 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</w:p>
          <w:p w14:paraId="5BF86719" w14:textId="77777777" w:rsidR="0022489F" w:rsidRPr="00864F84" w:rsidRDefault="0022489F" w:rsidP="00864F84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</w:p>
          <w:p w14:paraId="5164353B" w14:textId="224F01E5" w:rsidR="00540E1E" w:rsidRPr="00864F84" w:rsidRDefault="0022489F" w:rsidP="00864F84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Although 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these </w:t>
            </w:r>
            <w:r w:rsidR="00BA4922" w:rsidRPr="00864F84">
              <w:rPr>
                <w:rFonts w:cstheme="minorHAnsi"/>
                <w:bCs/>
                <w:color w:val="000000" w:themeColor="text1"/>
                <w:lang w:eastAsia="ja-JP"/>
              </w:rPr>
              <w:t>programs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are </w:t>
            </w:r>
            <w:r w:rsidR="00BF1FF7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making 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>progress</w:t>
            </w:r>
            <w:r w:rsidR="00BF1FF7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BA4922" w:rsidRPr="00864F84">
              <w:rPr>
                <w:rFonts w:cstheme="minorHAnsi"/>
                <w:bCs/>
                <w:color w:val="000000" w:themeColor="text1"/>
                <w:lang w:eastAsia="ja-JP"/>
              </w:rPr>
              <w:t>technical</w:t>
            </w:r>
            <w:r w:rsidR="00BF1FF7" w:rsidRPr="00864F84">
              <w:rPr>
                <w:rFonts w:cstheme="minorHAnsi"/>
                <w:bCs/>
                <w:color w:val="000000" w:themeColor="text1"/>
                <w:lang w:eastAsia="ja-JP"/>
              </w:rPr>
              <w:t>ly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>,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international guidance regarding the development of supporting safety cases for 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>LLW-LL remain</w:t>
            </w:r>
            <w:r w:rsidR="00BA4922" w:rsidRPr="00864F84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limited. Challenges lie at different levels: </w:t>
            </w:r>
            <w:r w:rsidR="00CC542F" w:rsidRPr="00864F84">
              <w:rPr>
                <w:rFonts w:cstheme="minorHAnsi"/>
                <w:bCs/>
                <w:color w:val="000000" w:themeColor="text1"/>
                <w:lang w:eastAsia="ja-JP"/>
              </w:rPr>
              <w:t>f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rom the high-leve</w:t>
            </w:r>
            <w:r w:rsidR="00BF1FF7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l, 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strategic requirements to the design specifications, including societal</w:t>
            </w:r>
            <w:r w:rsidR="00472C62" w:rsidRPr="00864F84">
              <w:rPr>
                <w:rFonts w:cstheme="minorHAnsi"/>
                <w:bCs/>
                <w:color w:val="000000" w:themeColor="text1"/>
                <w:lang w:eastAsia="ja-JP"/>
              </w:rPr>
              <w:t>, institutional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and sustainability 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considerations. </w:t>
            </w:r>
            <w:r w:rsidR="00472C62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472C62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To address these 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>issues</w:t>
            </w:r>
            <w:r w:rsidR="00472C62" w:rsidRPr="00864F84">
              <w:rPr>
                <w:rFonts w:cstheme="minorHAnsi"/>
                <w:bCs/>
                <w:color w:val="000000" w:themeColor="text1"/>
                <w:lang w:eastAsia="ja-JP"/>
              </w:rPr>
              <w:t>, the concept of</w:t>
            </w:r>
            <w:r w:rsidR="00CC542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the</w:t>
            </w:r>
            <w:r w:rsidR="00472C62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"graded approach," outlined in IAEA standards</w:t>
            </w:r>
            <w:r w:rsidR="0014149B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and documents (e.g. </w:t>
            </w:r>
            <w:r w:rsidR="0085174E" w:rsidRPr="00864F84">
              <w:rPr>
                <w:rFonts w:cstheme="minorHAnsi"/>
                <w:bCs/>
                <w:color w:val="000000" w:themeColor="text1"/>
                <w:lang w:eastAsia="ja-JP"/>
              </w:rPr>
              <w:t>IAEA Safety Glossary</w:t>
            </w:r>
            <w:r w:rsidR="00472C62" w:rsidRPr="00864F84">
              <w:rPr>
                <w:rFonts w:cstheme="minorHAnsi"/>
                <w:bCs/>
                <w:color w:val="000000" w:themeColor="text1"/>
                <w:lang w:eastAsia="ja-JP"/>
              </w:rPr>
              <w:t>,</w:t>
            </w:r>
            <w:r w:rsidR="0014149B" w:rsidRPr="00864F84">
              <w:rPr>
                <w:bCs/>
              </w:rPr>
              <w:t xml:space="preserve"> </w:t>
            </w:r>
            <w:r w:rsidR="0085174E" w:rsidRPr="00864F84">
              <w:rPr>
                <w:bCs/>
              </w:rPr>
              <w:t xml:space="preserve">GSR-part 1, </w:t>
            </w:r>
            <w:r w:rsidR="0014149B" w:rsidRPr="00864F84">
              <w:rPr>
                <w:rFonts w:cstheme="minorHAnsi"/>
                <w:bCs/>
                <w:color w:val="000000" w:themeColor="text1"/>
                <w:lang w:eastAsia="ja-JP"/>
              </w:rPr>
              <w:t>TECDOC-1740)</w:t>
            </w:r>
            <w:r w:rsidR="00472C62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emerges as 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>instrumental</w:t>
            </w:r>
            <w:r w:rsidR="00472C62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. This approach tailors safety measures to the risk posed by the waste, ensuring proportionate control and implementation measures. </w:t>
            </w:r>
          </w:p>
          <w:p w14:paraId="0B43EE5D" w14:textId="0C5653DD" w:rsidR="00DD703D" w:rsidRPr="00864F84" w:rsidRDefault="00540E1E" w:rsidP="00864F84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Acknowledging the need for international collaboration and guidance</w:t>
            </w:r>
            <w:r w:rsidR="00FE26BB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on the</w:t>
            </w:r>
            <w:r w:rsidR="0044602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long-term</w:t>
            </w:r>
            <w:r w:rsidR="00FE26BB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management of LLW-LL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, an initiative was launched by the I</w:t>
            </w:r>
            <w:r w:rsidR="00BF1FF7" w:rsidRPr="00864F84">
              <w:rPr>
                <w:rFonts w:cstheme="minorHAnsi"/>
                <w:bCs/>
                <w:color w:val="000000" w:themeColor="text1"/>
                <w:lang w:eastAsia="ja-JP"/>
              </w:rPr>
              <w:t>ntegration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Group </w:t>
            </w:r>
            <w:r w:rsidR="00BF1FF7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for </w:t>
            </w:r>
            <w:r w:rsidR="00AE4EFD" w:rsidRPr="00864F84">
              <w:rPr>
                <w:rFonts w:cstheme="minorHAnsi"/>
                <w:bCs/>
                <w:color w:val="000000" w:themeColor="text1"/>
                <w:lang w:eastAsia="ja-JP"/>
              </w:rPr>
              <w:t>the Safety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Case (IGSC). </w:t>
            </w:r>
          </w:p>
          <w:p w14:paraId="5A1EFB98" w14:textId="66DC007A" w:rsidR="00FE26BB" w:rsidRPr="00864F84" w:rsidRDefault="00DD703D" w:rsidP="00864F84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The goal of the activity i</w:t>
            </w:r>
            <w:r w:rsidR="00BF1FF7" w:rsidRPr="00864F84">
              <w:rPr>
                <w:rFonts w:cstheme="minorHAnsi"/>
                <w:bCs/>
                <w:color w:val="000000" w:themeColor="text1"/>
                <w:lang w:eastAsia="ja-JP"/>
              </w:rPr>
              <w:t>s to</w:t>
            </w:r>
            <w:r w:rsidR="00FE26BB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: </w:t>
            </w:r>
          </w:p>
          <w:p w14:paraId="71A6DFCA" w14:textId="210B3531" w:rsidR="00FE26BB" w:rsidRPr="00864F84" w:rsidRDefault="00FE26BB" w:rsidP="00864F84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•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ab/>
              <w:t xml:space="preserve">document how IAEA graded approach guidance can be applied to LLW-LL </w:t>
            </w:r>
            <w:r w:rsidR="00AE4EFD" w:rsidRPr="00864F84">
              <w:rPr>
                <w:rFonts w:cstheme="minorHAnsi"/>
                <w:bCs/>
                <w:color w:val="000000" w:themeColor="text1"/>
                <w:lang w:eastAsia="ja-JP"/>
              </w:rPr>
              <w:t>disposal;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</w:p>
          <w:p w14:paraId="1DD316ED" w14:textId="6640FC6E" w:rsidR="00FE26BB" w:rsidRPr="00864F84" w:rsidRDefault="00FE26BB" w:rsidP="00864F84">
            <w:pPr>
              <w:spacing w:before="60" w:after="60"/>
              <w:ind w:left="720" w:hanging="72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•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ab/>
              <w:t>document how the safety case methodology and which of its elements can be applied to LLW-LL disposal concepts, among which shallow/intermediate depth disposal.</w:t>
            </w:r>
            <w:r w:rsidR="00540E1E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</w:p>
          <w:p w14:paraId="1EAD6ED1" w14:textId="29230E48" w:rsidR="00DD703D" w:rsidRPr="00864F84" w:rsidRDefault="00DD703D" w:rsidP="00864F84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An ad-hoc expert group has been created gathering representatives from waste organizations and a first seminar has been h</w:t>
            </w:r>
            <w:r w:rsidR="00633592" w:rsidRPr="00864F84">
              <w:rPr>
                <w:rFonts w:cstheme="minorHAnsi"/>
                <w:bCs/>
                <w:color w:val="000000" w:themeColor="text1"/>
                <w:lang w:eastAsia="ja-JP"/>
              </w:rPr>
              <w:t>e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ld (with representatives of France, Belgium, UK, Czech Republic, Canada, Sweden </w:t>
            </w:r>
            <w:r w:rsidR="00CC542F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and 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Hungary) with the objective to share the national background the challenging issues and plans of future actions. </w:t>
            </w:r>
          </w:p>
          <w:p w14:paraId="50595725" w14:textId="77777777" w:rsidR="00DD703D" w:rsidRPr="00864F84" w:rsidRDefault="00DD703D" w:rsidP="00864F84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</w:p>
          <w:p w14:paraId="6667B3DC" w14:textId="41CF51AF" w:rsidR="00D802CB" w:rsidRPr="00460DCA" w:rsidRDefault="00FE26BB" w:rsidP="00460DCA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This presentation will reflect the p</w:t>
            </w:r>
            <w:r w:rsidR="00540E1E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reliminary outcomes from a </w:t>
            </w:r>
            <w:r w:rsidR="00DD703D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seminar 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>held</w:t>
            </w:r>
            <w:r w:rsidR="00BF1FF7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by the ad-hoc group</w:t>
            </w:r>
            <w:r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in Spring </w:t>
            </w:r>
            <w:r w:rsidR="00BF1FF7" w:rsidRPr="00864F84">
              <w:rPr>
                <w:rFonts w:cstheme="minorHAnsi"/>
                <w:bCs/>
                <w:color w:val="000000" w:themeColor="text1"/>
                <w:lang w:eastAsia="ja-JP"/>
              </w:rPr>
              <w:t>2024</w:t>
            </w:r>
            <w:r w:rsidR="00633592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BF1FF7" w:rsidRPr="00864F84">
              <w:rPr>
                <w:rFonts w:cstheme="minorHAnsi"/>
                <w:bCs/>
                <w:color w:val="000000" w:themeColor="text1"/>
                <w:lang w:eastAsia="ja-JP"/>
              </w:rPr>
              <w:t>on</w:t>
            </w:r>
            <w:r w:rsidR="00540E1E" w:rsidRPr="00864F84">
              <w:rPr>
                <w:rFonts w:cstheme="minorHAnsi"/>
                <w:bCs/>
                <w:color w:val="000000" w:themeColor="text1"/>
                <w:lang w:eastAsia="ja-JP"/>
              </w:rPr>
              <w:t xml:space="preserve"> this topic</w:t>
            </w:r>
            <w:bookmarkEnd w:id="0"/>
            <w:r w:rsidR="00460DCA">
              <w:rPr>
                <w:rFonts w:cstheme="minorHAnsi"/>
                <w:bCs/>
                <w:color w:val="000000" w:themeColor="text1"/>
                <w:lang w:eastAsia="ja-JP"/>
              </w:rPr>
              <w:t>.</w:t>
            </w:r>
          </w:p>
        </w:tc>
      </w:tr>
    </w:tbl>
    <w:p w14:paraId="3DB85F1E" w14:textId="77777777" w:rsidR="00ED483F" w:rsidRPr="00D66730" w:rsidRDefault="00ED483F" w:rsidP="00C60BC5">
      <w:pPr>
        <w:spacing w:after="0" w:line="240" w:lineRule="auto"/>
        <w:ind w:right="-188"/>
        <w:rPr>
          <w:rFonts w:cstheme="minorHAnsi"/>
          <w:b/>
          <w:color w:val="EEECE1" w:themeColor="background2"/>
          <w:lang w:eastAsia="ja-JP"/>
        </w:rPr>
      </w:pPr>
    </w:p>
    <w:sectPr w:rsidR="00ED483F" w:rsidRPr="00D66730" w:rsidSect="00016C23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36501" w14:textId="77777777" w:rsidR="00016C23" w:rsidRDefault="00016C23" w:rsidP="00AF3942">
      <w:pPr>
        <w:spacing w:after="0" w:line="240" w:lineRule="auto"/>
      </w:pPr>
      <w:r>
        <w:separator/>
      </w:r>
    </w:p>
  </w:endnote>
  <w:endnote w:type="continuationSeparator" w:id="0">
    <w:p w14:paraId="30F443B0" w14:textId="77777777" w:rsidR="00016C23" w:rsidRDefault="00016C23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C3BCF" w14:textId="77777777" w:rsidR="00016C23" w:rsidRDefault="00016C23" w:rsidP="00AF3942">
      <w:pPr>
        <w:spacing w:after="0" w:line="240" w:lineRule="auto"/>
      </w:pPr>
      <w:r>
        <w:separator/>
      </w:r>
    </w:p>
  </w:footnote>
  <w:footnote w:type="continuationSeparator" w:id="0">
    <w:p w14:paraId="3FA59AE4" w14:textId="77777777" w:rsidR="00016C23" w:rsidRDefault="00016C23" w:rsidP="00AF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284173">
    <w:abstractNumId w:val="1"/>
  </w:num>
  <w:num w:numId="2" w16cid:durableId="1627541623">
    <w:abstractNumId w:val="0"/>
  </w:num>
  <w:num w:numId="3" w16cid:durableId="612253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</w:docVars>
  <w:rsids>
    <w:rsidRoot w:val="00ED483F"/>
    <w:rsid w:val="00006677"/>
    <w:rsid w:val="00016C23"/>
    <w:rsid w:val="00033158"/>
    <w:rsid w:val="001215B8"/>
    <w:rsid w:val="0014149B"/>
    <w:rsid w:val="00147378"/>
    <w:rsid w:val="0022489F"/>
    <w:rsid w:val="0024518F"/>
    <w:rsid w:val="00285532"/>
    <w:rsid w:val="002B0699"/>
    <w:rsid w:val="002C48DA"/>
    <w:rsid w:val="003D606A"/>
    <w:rsid w:val="0044602F"/>
    <w:rsid w:val="00460DCA"/>
    <w:rsid w:val="00472C62"/>
    <w:rsid w:val="005208E7"/>
    <w:rsid w:val="005314CB"/>
    <w:rsid w:val="00540E1E"/>
    <w:rsid w:val="00590BB0"/>
    <w:rsid w:val="005D6D39"/>
    <w:rsid w:val="00633592"/>
    <w:rsid w:val="0067177D"/>
    <w:rsid w:val="0077682E"/>
    <w:rsid w:val="007E39C3"/>
    <w:rsid w:val="00812A19"/>
    <w:rsid w:val="008243EF"/>
    <w:rsid w:val="0085174E"/>
    <w:rsid w:val="00864F84"/>
    <w:rsid w:val="009249FD"/>
    <w:rsid w:val="009A56AA"/>
    <w:rsid w:val="009A6311"/>
    <w:rsid w:val="009C3C04"/>
    <w:rsid w:val="00AE4EFD"/>
    <w:rsid w:val="00AF3942"/>
    <w:rsid w:val="00B22E8F"/>
    <w:rsid w:val="00B63432"/>
    <w:rsid w:val="00BA4922"/>
    <w:rsid w:val="00BF1FF7"/>
    <w:rsid w:val="00C60BC5"/>
    <w:rsid w:val="00CC542F"/>
    <w:rsid w:val="00CD5585"/>
    <w:rsid w:val="00D66730"/>
    <w:rsid w:val="00D7639A"/>
    <w:rsid w:val="00D802CB"/>
    <w:rsid w:val="00D97484"/>
    <w:rsid w:val="00DB6830"/>
    <w:rsid w:val="00DD703D"/>
    <w:rsid w:val="00ED483F"/>
    <w:rsid w:val="00F119A1"/>
    <w:rsid w:val="00FD3AD9"/>
    <w:rsid w:val="00FE2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28C127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D80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590BB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C54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54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4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4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42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63432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3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1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0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irginie.wasselin@andra.f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EB301-587C-445D-90CC-C0DA1F27AA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28836E-4E45-4E3F-9BC7-E5BE8F9741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4EC75-8741-4E4F-8E1A-1F2837ADF7B9}">
  <ds:schemaRefs>
    <ds:schemaRef ds:uri="http://schemas.openxmlformats.org/package/2006/metadata/core-properties"/>
    <ds:schemaRef ds:uri="http://schemas.microsoft.com/office/2006/documentManagement/types"/>
    <ds:schemaRef ds:uri="947f5427-ef21-4d0b-b5d2-e3eadf686f4e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5874656-73D3-4C81-8448-6B805B371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435</Words>
  <Characters>2728</Characters>
  <Application>Microsoft Office Word</Application>
  <DocSecurity>0</DocSecurity>
  <Lines>47</Lines>
  <Paragraphs>20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MEKKI Soufiane, NEA/RWMD</cp:lastModifiedBy>
  <cp:revision>10</cp:revision>
  <cp:lastPrinted>2024-05-02T10:43:00Z</cp:lastPrinted>
  <dcterms:created xsi:type="dcterms:W3CDTF">2024-05-22T15:48:00Z</dcterms:created>
  <dcterms:modified xsi:type="dcterms:W3CDTF">2024-05-29T14:20:00Z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a2fd20b8c41103c18eeb1bf633a304a4629ac0ef69f2935db277ed71a75791ba</vt:lpwstr>
  </property>
  <property fmtid="{D5CDD505-2E9C-101B-9397-08002B2CF9AE}" pid="3" name="ContentTypeId">
    <vt:lpwstr>0x01010002FAEBA6069C9F458C0085404E0C5FFE</vt:lpwstr>
  </property>
</Properties>
</file>