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755585CB" w:rsidP="755585CB">
      <w:pPr>
        <w:shd w:val="clear" w:color="auto" w:fill="FFFFFF" w:themeFill="background1"/>
        <w:spacing w:after="120"/>
        <w:jc w:val="center"/>
        <w:rPr>
          <w:b/>
          <w:bCs/>
          <w:color w:val="116AAF"/>
        </w:rPr>
      </w:pPr>
      <w:r w:rsidRPr="755585CB">
        <w:rPr>
          <w:b/>
          <w:bCs/>
          <w:color w:val="116AAF"/>
          <w:sz w:val="32"/>
          <w:szCs w:val="32"/>
        </w:rPr>
        <w:t>Integration Group for the Safety Case (IGSC) Symposium 2024</w:t>
      </w:r>
      <w:r w:rsidR="00285532">
        <w:br/>
      </w:r>
      <w:r w:rsidRPr="755585CB">
        <w:rPr>
          <w:i/>
          <w:iCs/>
          <w:color w:val="116AAF"/>
        </w:rPr>
        <w:t>MOVING TOWARDS THE CONSTRUCTION OF A SAFE DGR – GETTING REAL</w:t>
      </w: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755585CB">
        <w:trPr>
          <w:trHeight w:val="432"/>
        </w:trPr>
        <w:tc>
          <w:tcPr>
            <w:tcW w:w="5707" w:type="dxa"/>
          </w:tcPr>
          <w:p w14:paraId="2DBDCB72" w14:textId="27F1FF94" w:rsidR="00ED483F" w:rsidRPr="00D66730" w:rsidRDefault="755585CB" w:rsidP="755585CB">
            <w:pPr>
              <w:spacing w:before="60" w:after="60"/>
              <w:rPr>
                <w:b/>
                <w:bCs/>
                <w:color w:val="000000" w:themeColor="text1"/>
              </w:rPr>
            </w:pPr>
            <w:r w:rsidRPr="755585CB">
              <w:rPr>
                <w:b/>
                <w:bCs/>
                <w:color w:val="000000" w:themeColor="text1"/>
              </w:rPr>
              <w:t>Abstract Number</w:t>
            </w:r>
            <w:r w:rsidRPr="755585CB">
              <w:rPr>
                <w:b/>
                <w:bCs/>
                <w:color w:val="000000" w:themeColor="text1"/>
                <w:lang w:eastAsia="ja-JP"/>
              </w:rPr>
              <w:t xml:space="preserve">: </w:t>
            </w:r>
            <w:r w:rsidR="00546DDF">
              <w:rPr>
                <w:b/>
                <w:bCs/>
                <w:color w:val="000000" w:themeColor="text1"/>
                <w:lang w:eastAsia="ja-JP"/>
              </w:rPr>
              <w:t>8</w:t>
            </w:r>
            <w:r w:rsidR="00C75281">
              <w:rPr>
                <w:b/>
                <w:bCs/>
                <w:color w:val="000000" w:themeColor="text1"/>
                <w:lang w:eastAsia="ja-JP"/>
              </w:rPr>
              <w:t>9</w:t>
            </w:r>
          </w:p>
        </w:tc>
        <w:tc>
          <w:tcPr>
            <w:tcW w:w="3376" w:type="dxa"/>
          </w:tcPr>
          <w:p w14:paraId="65329394" w14:textId="6AA997D1" w:rsidR="00ED483F" w:rsidRPr="00D66730" w:rsidRDefault="00546DDF" w:rsidP="755585CB">
            <w:pPr>
              <w:spacing w:before="60" w:after="60"/>
              <w:rPr>
                <w:b/>
                <w:bCs/>
                <w:color w:val="000000" w:themeColor="text1"/>
                <w:lang w:eastAsia="ja-JP"/>
              </w:rPr>
            </w:pPr>
            <w:r>
              <w:rPr>
                <w:b/>
                <w:bCs/>
                <w:color w:val="000000" w:themeColor="text1"/>
                <w:lang w:eastAsia="ja-JP"/>
              </w:rPr>
              <w:t>Session 9.</w:t>
            </w:r>
            <w:r w:rsidR="00C75281">
              <w:rPr>
                <w:b/>
                <w:bCs/>
                <w:color w:val="000000" w:themeColor="text1"/>
                <w:lang w:eastAsia="ja-JP"/>
              </w:rPr>
              <w:t>1</w:t>
            </w:r>
          </w:p>
        </w:tc>
      </w:tr>
      <w:tr w:rsidR="00D66730" w:rsidRPr="00D66730" w14:paraId="0837F891" w14:textId="77777777" w:rsidTr="00546DDF">
        <w:trPr>
          <w:trHeight w:val="1079"/>
        </w:trPr>
        <w:tc>
          <w:tcPr>
            <w:tcW w:w="9083" w:type="dxa"/>
            <w:gridSpan w:val="2"/>
          </w:tcPr>
          <w:p w14:paraId="22D919D6" w14:textId="1A6487D6" w:rsidR="00C60BC5" w:rsidRPr="00D66730" w:rsidRDefault="755585CB" w:rsidP="755585CB">
            <w:pPr>
              <w:spacing w:before="60" w:after="60"/>
              <w:rPr>
                <w:b/>
                <w:bCs/>
                <w:color w:val="000000" w:themeColor="text1"/>
                <w:lang w:eastAsia="ja-JP"/>
              </w:rPr>
            </w:pPr>
            <w:r w:rsidRPr="755585CB">
              <w:rPr>
                <w:b/>
                <w:bCs/>
                <w:color w:val="000000" w:themeColor="text1"/>
              </w:rPr>
              <w:t>Authors</w:t>
            </w:r>
            <w:r w:rsidRPr="755585CB">
              <w:rPr>
                <w:b/>
                <w:bCs/>
                <w:color w:val="000000" w:themeColor="text1"/>
                <w:lang w:eastAsia="ja-JP"/>
              </w:rPr>
              <w:t xml:space="preserve">: </w:t>
            </w:r>
            <w:r w:rsidR="00C75281">
              <w:rPr>
                <w:lang w:val="en-US"/>
              </w:rPr>
              <w:t>James Grover</w:t>
            </w:r>
          </w:p>
          <w:p w14:paraId="28699B1A" w14:textId="1343AEF2" w:rsidR="00AF3942" w:rsidRDefault="00C75281" w:rsidP="00546DDF">
            <w:pPr>
              <w:widowControl w:val="0"/>
              <w:autoSpaceDE w:val="0"/>
              <w:autoSpaceDN w:val="0"/>
              <w:ind w:right="879"/>
              <w:rPr>
                <w:lang w:val="en-US"/>
              </w:rPr>
            </w:pPr>
            <w:r>
              <w:rPr>
                <w:lang w:val="en-US"/>
              </w:rPr>
              <w:t>CAPGEMINI Engineering, United Kingdom</w:t>
            </w:r>
          </w:p>
          <w:p w14:paraId="6BC53966" w14:textId="5E06DFF9" w:rsidR="00546DDF" w:rsidRPr="00546DDF" w:rsidRDefault="00C75281" w:rsidP="00546DDF">
            <w:pPr>
              <w:widowControl w:val="0"/>
              <w:autoSpaceDE w:val="0"/>
              <w:autoSpaceDN w:val="0"/>
              <w:ind w:right="879"/>
              <w:rPr>
                <w:lang w:val="en-US"/>
              </w:rPr>
            </w:pPr>
            <w:hyperlink r:id="rId11" w:history="1">
              <w:r w:rsidRPr="004E430D">
                <w:rPr>
                  <w:rStyle w:val="Hyperlink"/>
                  <w:lang w:val="en-US"/>
                </w:rPr>
                <w:t>james.grover@capgemini.com</w:t>
              </w:r>
            </w:hyperlink>
            <w:r>
              <w:rPr>
                <w:lang w:val="en-US"/>
              </w:rPr>
              <w:t xml:space="preserve"> </w:t>
            </w:r>
          </w:p>
        </w:tc>
      </w:tr>
      <w:tr w:rsidR="00D66730" w:rsidRPr="00D66730" w14:paraId="330BCA96" w14:textId="77777777" w:rsidTr="00C75281">
        <w:trPr>
          <w:trHeight w:hRule="exact" w:val="1285"/>
        </w:trPr>
        <w:tc>
          <w:tcPr>
            <w:tcW w:w="9083" w:type="dxa"/>
            <w:gridSpan w:val="2"/>
          </w:tcPr>
          <w:p w14:paraId="0437C433" w14:textId="77777777" w:rsidR="00C75281" w:rsidRDefault="755585CB" w:rsidP="755585CB">
            <w:pPr>
              <w:spacing w:before="60" w:after="60"/>
              <w:rPr>
                <w:color w:val="000000" w:themeColor="text1"/>
                <w:lang w:eastAsia="ja-JP"/>
              </w:rPr>
            </w:pPr>
            <w:r w:rsidRPr="755585CB">
              <w:rPr>
                <w:b/>
                <w:bCs/>
                <w:color w:val="000000" w:themeColor="text1"/>
                <w:lang w:eastAsia="ja-JP"/>
              </w:rPr>
              <w:t xml:space="preserve">Abstract </w:t>
            </w:r>
            <w:r w:rsidRPr="755585CB">
              <w:rPr>
                <w:b/>
                <w:bCs/>
                <w:color w:val="000000" w:themeColor="text1"/>
              </w:rPr>
              <w:t>Title</w:t>
            </w:r>
            <w:r w:rsidRPr="755585CB">
              <w:rPr>
                <w:b/>
                <w:bCs/>
                <w:color w:val="000000" w:themeColor="text1"/>
                <w:lang w:eastAsia="ja-JP"/>
              </w:rPr>
              <w:t>:</w:t>
            </w:r>
            <w:r w:rsidRPr="755585CB">
              <w:rPr>
                <w:color w:val="000000" w:themeColor="text1"/>
                <w:lang w:eastAsia="ja-JP"/>
              </w:rPr>
              <w:t xml:space="preserve"> </w:t>
            </w:r>
          </w:p>
          <w:p w14:paraId="0223D0BE" w14:textId="1DBA03FD" w:rsidR="00C60BC5" w:rsidRPr="00D66730" w:rsidRDefault="00C75281" w:rsidP="755585CB">
            <w:pPr>
              <w:spacing w:before="60" w:after="60"/>
              <w:rPr>
                <w:b/>
                <w:bCs/>
                <w:color w:val="000000" w:themeColor="text1"/>
              </w:rPr>
            </w:pPr>
            <w:r w:rsidRPr="00C75281">
              <w:rPr>
                <w:b/>
                <w:bCs/>
                <w:lang w:val="en-US"/>
              </w:rPr>
              <w:t>Advances in Data Management Technology: Transferring the Benefits from Big Tech to the Nuclear Knowledge Management Domain</w:t>
            </w:r>
          </w:p>
        </w:tc>
      </w:tr>
      <w:tr w:rsidR="00D66730" w:rsidRPr="00D66730" w14:paraId="336BE7D3" w14:textId="77777777" w:rsidTr="00546DDF">
        <w:trPr>
          <w:trHeight w:val="711"/>
        </w:trPr>
        <w:tc>
          <w:tcPr>
            <w:tcW w:w="9083" w:type="dxa"/>
            <w:gridSpan w:val="2"/>
            <w:tcBorders>
              <w:bottom w:val="single" w:sz="4" w:space="0" w:color="auto"/>
            </w:tcBorders>
          </w:tcPr>
          <w:p w14:paraId="22FE86B6" w14:textId="77777777" w:rsidR="00D66730" w:rsidRDefault="755585CB" w:rsidP="755585CB">
            <w:pPr>
              <w:spacing w:before="60" w:after="60"/>
              <w:rPr>
                <w:b/>
                <w:bCs/>
                <w:color w:val="000000" w:themeColor="text1"/>
                <w:lang w:eastAsia="ja-JP"/>
              </w:rPr>
            </w:pPr>
            <w:r w:rsidRPr="755585CB">
              <w:rPr>
                <w:b/>
                <w:bCs/>
                <w:color w:val="000000" w:themeColor="text1"/>
                <w:lang w:eastAsia="ja-JP"/>
              </w:rPr>
              <w:t>Abstract (300-500 words):</w:t>
            </w:r>
          </w:p>
          <w:p w14:paraId="7F547849" w14:textId="77777777" w:rsidR="00C75281" w:rsidRPr="00C75281" w:rsidRDefault="00C75281" w:rsidP="00C75281">
            <w:pPr>
              <w:spacing w:before="60" w:after="120" w:line="240" w:lineRule="auto"/>
              <w:jc w:val="both"/>
              <w:rPr>
                <w:color w:val="000000" w:themeColor="text1"/>
                <w:lang w:eastAsia="ja-JP"/>
              </w:rPr>
            </w:pPr>
            <w:r w:rsidRPr="00C75281">
              <w:rPr>
                <w:color w:val="000000" w:themeColor="text1"/>
                <w:lang w:eastAsia="ja-JP"/>
              </w:rPr>
              <w:t xml:space="preserve">In the past fifteen years, the performance and scaling demands of modern applications and platforms have driven a massive amount of innovation in data storage and management technology, creating a wide variety of tools that supplement or replace traditional relational databases and storage area networks. In parallel with this, the growth of the major public cloud </w:t>
            </w:r>
            <w:proofErr w:type="spellStart"/>
            <w:r w:rsidRPr="00C75281">
              <w:rPr>
                <w:color w:val="000000" w:themeColor="text1"/>
                <w:lang w:eastAsia="ja-JP"/>
              </w:rPr>
              <w:t>hyperscalers</w:t>
            </w:r>
            <w:proofErr w:type="spellEnd"/>
            <w:r w:rsidRPr="00C75281">
              <w:rPr>
                <w:color w:val="000000" w:themeColor="text1"/>
                <w:lang w:eastAsia="ja-JP"/>
              </w:rPr>
              <w:t xml:space="preserve"> such as Amazon, Google and Microsoft have made it easier than ever to access these technologies on demand, reducing the capital expenditure required to build Big Data platforms. </w:t>
            </w:r>
          </w:p>
          <w:p w14:paraId="66978CB1" w14:textId="77777777" w:rsidR="00C75281" w:rsidRPr="00C75281" w:rsidRDefault="00C75281" w:rsidP="00C75281">
            <w:pPr>
              <w:spacing w:before="60" w:after="120" w:line="240" w:lineRule="auto"/>
              <w:jc w:val="both"/>
              <w:rPr>
                <w:color w:val="000000" w:themeColor="text1"/>
                <w:lang w:eastAsia="ja-JP"/>
              </w:rPr>
            </w:pPr>
            <w:r w:rsidRPr="00C75281">
              <w:rPr>
                <w:color w:val="000000" w:themeColor="text1"/>
                <w:lang w:eastAsia="ja-JP"/>
              </w:rPr>
              <w:t>These trends have been eagerly adopted across industries where scalability is key, particularly social media and (more recently) artificial intelligence, and this has driven a continuous refinement of the best practices for designing data management solutions in the Big Tech world.</w:t>
            </w:r>
          </w:p>
          <w:p w14:paraId="5EFD4C06" w14:textId="77777777" w:rsidR="00C75281" w:rsidRPr="00C75281" w:rsidRDefault="00C75281" w:rsidP="00C75281">
            <w:pPr>
              <w:spacing w:before="60" w:after="120" w:line="240" w:lineRule="auto"/>
              <w:jc w:val="both"/>
              <w:rPr>
                <w:color w:val="000000" w:themeColor="text1"/>
                <w:lang w:eastAsia="ja-JP"/>
              </w:rPr>
            </w:pPr>
            <w:r w:rsidRPr="00C75281">
              <w:rPr>
                <w:color w:val="000000" w:themeColor="text1"/>
                <w:lang w:eastAsia="ja-JP"/>
              </w:rPr>
              <w:t>Many of these tools and patterns can offer significant value in the realm of knowledge management and digital safety case solutions. These frequently face similar challenges to social media platforms, and transferring advances in technology and best practice to this domain can help address issues of discoverability, entity relationship management, security and more. Aligning to modern best practice will also ensure that these solutions are well-placed to benefit from future waves of innovation, whether delivered by generative artificial intelligence or the next breakout technology.</w:t>
            </w:r>
          </w:p>
          <w:p w14:paraId="365A6755" w14:textId="77777777" w:rsidR="00C75281" w:rsidRPr="00C75281" w:rsidRDefault="00C75281" w:rsidP="00C75281">
            <w:pPr>
              <w:spacing w:before="60" w:after="120" w:line="240" w:lineRule="auto"/>
              <w:jc w:val="both"/>
              <w:rPr>
                <w:color w:val="000000" w:themeColor="text1"/>
                <w:lang w:eastAsia="ja-JP"/>
              </w:rPr>
            </w:pPr>
            <w:r w:rsidRPr="00C75281">
              <w:rPr>
                <w:color w:val="000000" w:themeColor="text1"/>
                <w:lang w:eastAsia="ja-JP"/>
              </w:rPr>
              <w:t xml:space="preserve">This keynote will discuss the practical ways that technologies such as NoSQL databases, graph databases and enterprise search platforms can be brought to bear within knowledge management solutions for the nuclear industry, both when augmenting existing systems and designing new platforms. New patterns and tools make it easier than ever to deliver some functionality and, when planning a solution, it’s important to understand what </w:t>
            </w:r>
            <w:proofErr w:type="gramStart"/>
            <w:r w:rsidRPr="00C75281">
              <w:rPr>
                <w:color w:val="000000" w:themeColor="text1"/>
                <w:lang w:eastAsia="ja-JP"/>
              </w:rPr>
              <w:t>is now a solved problem</w:t>
            </w:r>
            <w:proofErr w:type="gramEnd"/>
            <w:r w:rsidRPr="00C75281">
              <w:rPr>
                <w:color w:val="000000" w:themeColor="text1"/>
                <w:lang w:eastAsia="ja-JP"/>
              </w:rPr>
              <w:t xml:space="preserve">, and what’s still hard! </w:t>
            </w:r>
          </w:p>
          <w:p w14:paraId="6667B3DC" w14:textId="0D725AAA" w:rsidR="005F57FD" w:rsidRPr="005F57FD" w:rsidRDefault="00C75281" w:rsidP="00C75281">
            <w:pPr>
              <w:spacing w:before="60" w:after="120"/>
              <w:jc w:val="both"/>
              <w:rPr>
                <w:color w:val="000000" w:themeColor="text1"/>
                <w:lang w:eastAsia="ja-JP"/>
              </w:rPr>
            </w:pPr>
            <w:r w:rsidRPr="00C75281">
              <w:rPr>
                <w:color w:val="000000" w:themeColor="text1"/>
                <w:lang w:eastAsia="ja-JP"/>
              </w:rPr>
              <w:t>Building on top of that, the session will conclude with a discussion of the implications for designing data structures, providing guidance on how to balance compatibility with existing tools and the flexibility to adapt to new ones.</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546DDF">
      <w:headerReference w:type="even" r:id="rId12"/>
      <w:headerReference w:type="default" r:id="rId13"/>
      <w:headerReference w:type="first" r:id="rId14"/>
      <w:pgSz w:w="11906" w:h="16838"/>
      <w:pgMar w:top="269" w:right="1440" w:bottom="284" w:left="1440"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52780" w14:textId="77777777" w:rsidR="005E08C5" w:rsidRDefault="005E08C5" w:rsidP="00AF3942">
      <w:pPr>
        <w:spacing w:after="0" w:line="240" w:lineRule="auto"/>
      </w:pPr>
      <w:r>
        <w:separator/>
      </w:r>
    </w:p>
  </w:endnote>
  <w:endnote w:type="continuationSeparator" w:id="0">
    <w:p w14:paraId="1EFB8143" w14:textId="77777777" w:rsidR="005E08C5" w:rsidRDefault="005E08C5" w:rsidP="00AF3942">
      <w:pPr>
        <w:spacing w:after="0" w:line="240" w:lineRule="auto"/>
      </w:pPr>
      <w:r>
        <w:continuationSeparator/>
      </w:r>
    </w:p>
  </w:endnote>
  <w:endnote w:type="continuationNotice" w:id="1">
    <w:p w14:paraId="14EFA18E" w14:textId="77777777" w:rsidR="005E08C5" w:rsidRDefault="005E08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0DB88" w14:textId="77777777" w:rsidR="005E08C5" w:rsidRDefault="005E08C5" w:rsidP="00AF3942">
      <w:pPr>
        <w:spacing w:after="0" w:line="240" w:lineRule="auto"/>
      </w:pPr>
      <w:r>
        <w:separator/>
      </w:r>
    </w:p>
  </w:footnote>
  <w:footnote w:type="continuationSeparator" w:id="0">
    <w:p w14:paraId="4B706759" w14:textId="77777777" w:rsidR="005E08C5" w:rsidRDefault="005E08C5" w:rsidP="00AF3942">
      <w:pPr>
        <w:spacing w:after="0" w:line="240" w:lineRule="auto"/>
      </w:pPr>
      <w:r>
        <w:continuationSeparator/>
      </w:r>
    </w:p>
  </w:footnote>
  <w:footnote w:type="continuationNotice" w:id="1">
    <w:p w14:paraId="66592049" w14:textId="77777777" w:rsidR="005E08C5" w:rsidRDefault="005E08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9100" w14:textId="472D1E87" w:rsidR="00180454" w:rsidRDefault="00180454">
    <w:pPr>
      <w:pStyle w:val="Header"/>
    </w:pPr>
    <w:r>
      <w:rPr>
        <w:noProof/>
      </w:rPr>
      <mc:AlternateContent>
        <mc:Choice Requires="wps">
          <w:drawing>
            <wp:anchor distT="0" distB="0" distL="0" distR="0" simplePos="0" relativeHeight="251658241" behindDoc="0" locked="0" layoutInCell="1" allowOverlap="1" wp14:anchorId="28F8ED8C" wp14:editId="0E72815D">
              <wp:simplePos x="635" y="635"/>
              <wp:positionH relativeFrom="page">
                <wp:align>center</wp:align>
              </wp:positionH>
              <wp:positionV relativeFrom="page">
                <wp:align>top</wp:align>
              </wp:positionV>
              <wp:extent cx="443865" cy="443865"/>
              <wp:effectExtent l="0" t="0" r="16510" b="1206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40EDFF" w14:textId="21F72F66"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F8ED8C"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3C40EDFF" w14:textId="21F72F66"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5A9B" w14:textId="0B8FB42F" w:rsidR="00180454" w:rsidRDefault="00180454">
    <w:pPr>
      <w:pStyle w:val="Header"/>
    </w:pPr>
    <w:r>
      <w:rPr>
        <w:noProof/>
      </w:rPr>
      <mc:AlternateContent>
        <mc:Choice Requires="wps">
          <w:drawing>
            <wp:anchor distT="0" distB="0" distL="0" distR="0" simplePos="0" relativeHeight="251658242" behindDoc="0" locked="0" layoutInCell="1" allowOverlap="1" wp14:anchorId="23001ECE" wp14:editId="2BE8318F">
              <wp:simplePos x="914400" y="451590"/>
              <wp:positionH relativeFrom="page">
                <wp:align>center</wp:align>
              </wp:positionH>
              <wp:positionV relativeFrom="page">
                <wp:align>top</wp:align>
              </wp:positionV>
              <wp:extent cx="443865" cy="443865"/>
              <wp:effectExtent l="0" t="0" r="16510" b="1206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B6638" w14:textId="460D2E5C"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001ECE"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117B6638" w14:textId="460D2E5C"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792C" w14:textId="7CBE4B0E" w:rsidR="00180454" w:rsidRDefault="00180454">
    <w:pPr>
      <w:pStyle w:val="Header"/>
    </w:pPr>
    <w:r>
      <w:rPr>
        <w:noProof/>
      </w:rPr>
      <mc:AlternateContent>
        <mc:Choice Requires="wps">
          <w:drawing>
            <wp:anchor distT="0" distB="0" distL="0" distR="0" simplePos="0" relativeHeight="251658240" behindDoc="0" locked="0" layoutInCell="1" allowOverlap="1" wp14:anchorId="2B52493B" wp14:editId="24271650">
              <wp:simplePos x="635" y="635"/>
              <wp:positionH relativeFrom="page">
                <wp:align>center</wp:align>
              </wp:positionH>
              <wp:positionV relativeFrom="page">
                <wp:align>top</wp:align>
              </wp:positionV>
              <wp:extent cx="443865" cy="443865"/>
              <wp:effectExtent l="0" t="0" r="16510" b="1206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62A013" w14:textId="10A3B05A"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52493B"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0662A013" w14:textId="10A3B05A"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A196F"/>
    <w:multiLevelType w:val="hybridMultilevel"/>
    <w:tmpl w:val="DA8CD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69F5827"/>
    <w:multiLevelType w:val="hybridMultilevel"/>
    <w:tmpl w:val="0F72F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2"/>
  </w:num>
  <w:num w:numId="2" w16cid:durableId="1627541623">
    <w:abstractNumId w:val="1"/>
  </w:num>
  <w:num w:numId="3" w16cid:durableId="612253574">
    <w:abstractNumId w:val="4"/>
  </w:num>
  <w:num w:numId="4" w16cid:durableId="1933657022">
    <w:abstractNumId w:val="0"/>
  </w:num>
  <w:num w:numId="5" w16cid:durableId="1783959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14F398A08C84344709B96BF143C822AE7EA2AF894156E68C530E43D407E46BE"/>
  </w:docVars>
  <w:rsids>
    <w:rsidRoot w:val="00ED483F"/>
    <w:rsid w:val="00005C80"/>
    <w:rsid w:val="00006677"/>
    <w:rsid w:val="00013253"/>
    <w:rsid w:val="00047206"/>
    <w:rsid w:val="00084991"/>
    <w:rsid w:val="00084C15"/>
    <w:rsid w:val="00096A6C"/>
    <w:rsid w:val="000C7246"/>
    <w:rsid w:val="001215B8"/>
    <w:rsid w:val="00125566"/>
    <w:rsid w:val="00145204"/>
    <w:rsid w:val="00180454"/>
    <w:rsid w:val="00197F92"/>
    <w:rsid w:val="001C4852"/>
    <w:rsid w:val="001C725C"/>
    <w:rsid w:val="001D766A"/>
    <w:rsid w:val="00225054"/>
    <w:rsid w:val="00231843"/>
    <w:rsid w:val="002355AB"/>
    <w:rsid w:val="00235CA4"/>
    <w:rsid w:val="0024224C"/>
    <w:rsid w:val="00244A23"/>
    <w:rsid w:val="0024518F"/>
    <w:rsid w:val="00255993"/>
    <w:rsid w:val="002755D3"/>
    <w:rsid w:val="00277B96"/>
    <w:rsid w:val="00285532"/>
    <w:rsid w:val="002B0699"/>
    <w:rsid w:val="002C37D0"/>
    <w:rsid w:val="002C48DA"/>
    <w:rsid w:val="00322BAE"/>
    <w:rsid w:val="00332E94"/>
    <w:rsid w:val="00340135"/>
    <w:rsid w:val="00393037"/>
    <w:rsid w:val="00396070"/>
    <w:rsid w:val="003A2AF4"/>
    <w:rsid w:val="003C13CE"/>
    <w:rsid w:val="003D477C"/>
    <w:rsid w:val="003D606A"/>
    <w:rsid w:val="00430DEC"/>
    <w:rsid w:val="00432024"/>
    <w:rsid w:val="0046144C"/>
    <w:rsid w:val="00464939"/>
    <w:rsid w:val="004802BE"/>
    <w:rsid w:val="00496780"/>
    <w:rsid w:val="004C7194"/>
    <w:rsid w:val="004E30E2"/>
    <w:rsid w:val="005208E7"/>
    <w:rsid w:val="00546DDF"/>
    <w:rsid w:val="00572AB9"/>
    <w:rsid w:val="00586EF1"/>
    <w:rsid w:val="005A3824"/>
    <w:rsid w:val="005D3993"/>
    <w:rsid w:val="005E08C5"/>
    <w:rsid w:val="005F57FD"/>
    <w:rsid w:val="00610235"/>
    <w:rsid w:val="00613DD1"/>
    <w:rsid w:val="0062426C"/>
    <w:rsid w:val="00644742"/>
    <w:rsid w:val="0067177D"/>
    <w:rsid w:val="00680DC3"/>
    <w:rsid w:val="006822E3"/>
    <w:rsid w:val="006D0D05"/>
    <w:rsid w:val="00701315"/>
    <w:rsid w:val="007361EB"/>
    <w:rsid w:val="0077682E"/>
    <w:rsid w:val="007922E6"/>
    <w:rsid w:val="007E39C3"/>
    <w:rsid w:val="007F5FB8"/>
    <w:rsid w:val="00804ADE"/>
    <w:rsid w:val="00811629"/>
    <w:rsid w:val="00846F05"/>
    <w:rsid w:val="00863F86"/>
    <w:rsid w:val="008A49DD"/>
    <w:rsid w:val="008E66EB"/>
    <w:rsid w:val="009249FD"/>
    <w:rsid w:val="00947F21"/>
    <w:rsid w:val="009A3A16"/>
    <w:rsid w:val="009B7F52"/>
    <w:rsid w:val="009C3C04"/>
    <w:rsid w:val="009F3507"/>
    <w:rsid w:val="00A05F17"/>
    <w:rsid w:val="00A558E4"/>
    <w:rsid w:val="00A64A6A"/>
    <w:rsid w:val="00AB22EF"/>
    <w:rsid w:val="00AC7CFB"/>
    <w:rsid w:val="00AD1196"/>
    <w:rsid w:val="00AF3942"/>
    <w:rsid w:val="00AF784D"/>
    <w:rsid w:val="00B01FDF"/>
    <w:rsid w:val="00B07460"/>
    <w:rsid w:val="00B14563"/>
    <w:rsid w:val="00B17FB7"/>
    <w:rsid w:val="00B22E8F"/>
    <w:rsid w:val="00B300F9"/>
    <w:rsid w:val="00B61942"/>
    <w:rsid w:val="00B62D0A"/>
    <w:rsid w:val="00BB685C"/>
    <w:rsid w:val="00BC57F4"/>
    <w:rsid w:val="00BF7630"/>
    <w:rsid w:val="00C072B8"/>
    <w:rsid w:val="00C27F38"/>
    <w:rsid w:val="00C439CE"/>
    <w:rsid w:val="00C45868"/>
    <w:rsid w:val="00C60BC5"/>
    <w:rsid w:val="00C75281"/>
    <w:rsid w:val="00CB288A"/>
    <w:rsid w:val="00CD3F83"/>
    <w:rsid w:val="00CD5585"/>
    <w:rsid w:val="00CD5B00"/>
    <w:rsid w:val="00CF23AA"/>
    <w:rsid w:val="00D07EFF"/>
    <w:rsid w:val="00D1341D"/>
    <w:rsid w:val="00D61968"/>
    <w:rsid w:val="00D66730"/>
    <w:rsid w:val="00D67431"/>
    <w:rsid w:val="00D70491"/>
    <w:rsid w:val="00D7639A"/>
    <w:rsid w:val="00D87D9D"/>
    <w:rsid w:val="00DB6830"/>
    <w:rsid w:val="00DF6559"/>
    <w:rsid w:val="00DF7D64"/>
    <w:rsid w:val="00E47575"/>
    <w:rsid w:val="00E62CE5"/>
    <w:rsid w:val="00E95DE8"/>
    <w:rsid w:val="00EA3699"/>
    <w:rsid w:val="00EC3F6D"/>
    <w:rsid w:val="00EC743E"/>
    <w:rsid w:val="00ED3CE4"/>
    <w:rsid w:val="00ED483F"/>
    <w:rsid w:val="00F75531"/>
    <w:rsid w:val="00F9109D"/>
    <w:rsid w:val="00F963A5"/>
    <w:rsid w:val="00FA59B2"/>
    <w:rsid w:val="00FF3029"/>
    <w:rsid w:val="14651218"/>
    <w:rsid w:val="2775A001"/>
    <w:rsid w:val="320C2044"/>
    <w:rsid w:val="383A1F95"/>
    <w:rsid w:val="46B3C8F6"/>
    <w:rsid w:val="49D819FB"/>
    <w:rsid w:val="4B34E9AE"/>
    <w:rsid w:val="5CE300C6"/>
    <w:rsid w:val="5D8D5C0D"/>
    <w:rsid w:val="67FB94EB"/>
    <w:rsid w:val="6BAB1B9B"/>
    <w:rsid w:val="755585C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8C127"/>
  <w15:docId w15:val="{823B37D8-6EDC-4D55-9739-6843F27F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1804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0454"/>
  </w:style>
  <w:style w:type="paragraph" w:styleId="Footer">
    <w:name w:val="footer"/>
    <w:basedOn w:val="Normal"/>
    <w:link w:val="FooterChar"/>
    <w:uiPriority w:val="99"/>
    <w:unhideWhenUsed/>
    <w:rsid w:val="00C439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39CE"/>
  </w:style>
  <w:style w:type="paragraph" w:styleId="CommentText">
    <w:name w:val="annotation text"/>
    <w:basedOn w:val="Normal"/>
    <w:link w:val="CommentTextChar"/>
    <w:uiPriority w:val="99"/>
    <w:unhideWhenUsed/>
    <w:rsid w:val="00C439CE"/>
    <w:pPr>
      <w:spacing w:line="240" w:lineRule="auto"/>
    </w:pPr>
    <w:rPr>
      <w:sz w:val="20"/>
      <w:szCs w:val="20"/>
    </w:rPr>
  </w:style>
  <w:style w:type="character" w:customStyle="1" w:styleId="CommentTextChar">
    <w:name w:val="Comment Text Char"/>
    <w:basedOn w:val="DefaultParagraphFont"/>
    <w:link w:val="CommentText"/>
    <w:uiPriority w:val="99"/>
    <w:rsid w:val="00C439CE"/>
    <w:rPr>
      <w:sz w:val="20"/>
      <w:szCs w:val="20"/>
    </w:rPr>
  </w:style>
  <w:style w:type="character" w:styleId="CommentReference">
    <w:name w:val="annotation reference"/>
    <w:basedOn w:val="DefaultParagraphFont"/>
    <w:uiPriority w:val="99"/>
    <w:semiHidden/>
    <w:unhideWhenUsed/>
    <w:rsid w:val="00C439CE"/>
    <w:rPr>
      <w:sz w:val="16"/>
      <w:szCs w:val="16"/>
    </w:rPr>
  </w:style>
  <w:style w:type="paragraph" w:styleId="CommentSubject">
    <w:name w:val="annotation subject"/>
    <w:basedOn w:val="CommentText"/>
    <w:next w:val="CommentText"/>
    <w:link w:val="CommentSubjectChar"/>
    <w:uiPriority w:val="99"/>
    <w:semiHidden/>
    <w:unhideWhenUsed/>
    <w:rsid w:val="00610235"/>
    <w:rPr>
      <w:b/>
      <w:bCs/>
    </w:rPr>
  </w:style>
  <w:style w:type="character" w:customStyle="1" w:styleId="CommentSubjectChar">
    <w:name w:val="Comment Subject Char"/>
    <w:basedOn w:val="CommentTextChar"/>
    <w:link w:val="CommentSubject"/>
    <w:uiPriority w:val="99"/>
    <w:semiHidden/>
    <w:rsid w:val="00610235"/>
    <w:rPr>
      <w:b/>
      <w:bCs/>
      <w:sz w:val="20"/>
      <w:szCs w:val="20"/>
    </w:rPr>
  </w:style>
  <w:style w:type="character" w:styleId="Hyperlink">
    <w:name w:val="Hyperlink"/>
    <w:basedOn w:val="DefaultParagraphFont"/>
    <w:uiPriority w:val="99"/>
    <w:unhideWhenUsed/>
    <w:rsid w:val="00846F05"/>
    <w:rPr>
      <w:color w:val="0000FF" w:themeColor="hyperlink"/>
      <w:u w:val="single"/>
    </w:rPr>
  </w:style>
  <w:style w:type="character" w:styleId="UnresolvedMention">
    <w:name w:val="Unresolved Mention"/>
    <w:basedOn w:val="DefaultParagraphFont"/>
    <w:uiPriority w:val="99"/>
    <w:semiHidden/>
    <w:unhideWhenUsed/>
    <w:rsid w:val="00846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mes.grover@capgemini.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47f5427-ef21-4d0b-b5d2-e3eadf686f4e">
      <UserInfo>
        <DisplayName>Hyatt, Neil (NWS)</DisplayName>
        <AccountId>48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61A8BE27-DD79-4C8E-83ED-B60254B7D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EB5A94-2D40-40F3-AF6E-C74828B91007}">
  <ds:schemaRefs>
    <ds:schemaRef ds:uri="http://schemas.microsoft.com/office/2006/metadata/properties"/>
    <ds:schemaRef ds:uri="http://schemas.microsoft.com/office/infopath/2007/PartnerControls"/>
    <ds:schemaRef ds:uri="947f5427-ef21-4d0b-b5d2-e3eadf686f4e"/>
  </ds:schemaRefs>
</ds:datastoreItem>
</file>

<file path=customXml/itemProps4.xml><?xml version="1.0" encoding="utf-8"?>
<ds:datastoreItem xmlns:ds="http://schemas.openxmlformats.org/officeDocument/2006/customXml" ds:itemID="{7C5F911C-CDFD-4AC0-BF19-B068FB3841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383</Words>
  <Characters>2222</Characters>
  <Application>Microsoft Office Word</Application>
  <DocSecurity>0</DocSecurity>
  <Lines>39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KWONG Gloria, NEA/PR</dc:creator>
  <cp:keywords/>
  <cp:lastModifiedBy>MEKKI Soufiane, NEA/RWMD</cp:lastModifiedBy>
  <cp:revision>3</cp:revision>
  <dcterms:created xsi:type="dcterms:W3CDTF">2024-06-18T14:04:00Z</dcterms:created>
  <dcterms:modified xsi:type="dcterms:W3CDTF">2024-06-18T14:08:00Z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MSIP_Label_19cc7ebe-3455-450c-a5d2-14ba1adb1286_Enabled">
    <vt:lpwstr>true</vt:lpwstr>
  </property>
  <property fmtid="{D5CDD505-2E9C-101B-9397-08002B2CF9AE}" pid="7" name="MSIP_Label_19cc7ebe-3455-450c-a5d2-14ba1adb1286_SetDate">
    <vt:lpwstr>2024-02-22T16:58:25Z</vt:lpwstr>
  </property>
  <property fmtid="{D5CDD505-2E9C-101B-9397-08002B2CF9AE}" pid="8" name="MSIP_Label_19cc7ebe-3455-450c-a5d2-14ba1adb1286_Method">
    <vt:lpwstr>Privileged</vt:lpwstr>
  </property>
  <property fmtid="{D5CDD505-2E9C-101B-9397-08002B2CF9AE}" pid="9" name="MSIP_Label_19cc7ebe-3455-450c-a5d2-14ba1adb1286_Name">
    <vt:lpwstr>OFFICIAL-Marking</vt:lpwstr>
  </property>
  <property fmtid="{D5CDD505-2E9C-101B-9397-08002B2CF9AE}" pid="10" name="MSIP_Label_19cc7ebe-3455-450c-a5d2-14ba1adb1286_SiteId">
    <vt:lpwstr>1929b5b6-230e-4b2e-837a-b96f0a9b1b56</vt:lpwstr>
  </property>
  <property fmtid="{D5CDD505-2E9C-101B-9397-08002B2CF9AE}" pid="11" name="MSIP_Label_19cc7ebe-3455-450c-a5d2-14ba1adb1286_ActionId">
    <vt:lpwstr>888c3e1f-df75-4136-b42e-8995cace3ca0</vt:lpwstr>
  </property>
  <property fmtid="{D5CDD505-2E9C-101B-9397-08002B2CF9AE}" pid="12" name="MSIP_Label_19cc7ebe-3455-450c-a5d2-14ba1adb1286_ContentBits">
    <vt:lpwstr>1</vt:lpwstr>
  </property>
  <property fmtid="{D5CDD505-2E9C-101B-9397-08002B2CF9AE}" pid="13" name="ContentTypeId">
    <vt:lpwstr>0x01010002FAEBA6069C9F458C0085404E0C5FFE</vt:lpwstr>
  </property>
  <property fmtid="{D5CDD505-2E9C-101B-9397-08002B2CF9AE}" pid="14" name="OECDDocumentId">
    <vt:lpwstr>614F398A08C84344709B96BF143C822AE7EA2AF894156E68C530E43D407E46BE</vt:lpwstr>
  </property>
  <property fmtid="{D5CDD505-2E9C-101B-9397-08002B2CF9AE}" pid="15" name="OecdDocumentCoteLangHash">
    <vt:lpwstr/>
  </property>
</Properties>
</file>