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17521C04"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9B317C">
              <w:rPr>
                <w:rFonts w:cstheme="minorHAnsi"/>
                <w:b/>
                <w:color w:val="000000" w:themeColor="text1"/>
                <w:lang w:eastAsia="ja-JP"/>
              </w:rPr>
              <w:t>47</w:t>
            </w:r>
          </w:p>
        </w:tc>
        <w:tc>
          <w:tcPr>
            <w:tcW w:w="3376" w:type="dxa"/>
          </w:tcPr>
          <w:p w14:paraId="65329394" w14:textId="42B37DD9" w:rsidR="00ED483F" w:rsidRPr="00D66730" w:rsidRDefault="00A45CA5" w:rsidP="002B0699">
            <w:pPr>
              <w:spacing w:before="60" w:after="60"/>
              <w:rPr>
                <w:rFonts w:cstheme="minorHAnsi"/>
                <w:b/>
                <w:color w:val="000000" w:themeColor="text1"/>
                <w:lang w:eastAsia="ja-JP"/>
              </w:rPr>
            </w:pPr>
            <w:r>
              <w:rPr>
                <w:rFonts w:cstheme="minorHAnsi"/>
                <w:b/>
                <w:color w:val="000000" w:themeColor="text1"/>
                <w:lang w:eastAsia="ja-JP"/>
              </w:rPr>
              <w:t>Session 7.3.5</w:t>
            </w:r>
          </w:p>
        </w:tc>
      </w:tr>
      <w:tr w:rsidR="00D66730" w:rsidRPr="00D66730" w14:paraId="0837F891" w14:textId="77777777" w:rsidTr="00270790">
        <w:trPr>
          <w:trHeight w:val="730"/>
        </w:trPr>
        <w:tc>
          <w:tcPr>
            <w:tcW w:w="9083" w:type="dxa"/>
            <w:gridSpan w:val="2"/>
          </w:tcPr>
          <w:p w14:paraId="22D919D6" w14:textId="291516E3" w:rsidR="00C60BC5" w:rsidRPr="003A2ECE" w:rsidRDefault="00ED483F" w:rsidP="002B0699">
            <w:pPr>
              <w:spacing w:before="60" w:after="60"/>
              <w:rPr>
                <w:rFonts w:cstheme="minorHAnsi"/>
                <w:bCs/>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r w:rsidR="003A2ECE">
              <w:rPr>
                <w:rFonts w:cstheme="minorHAnsi"/>
                <w:b/>
                <w:color w:val="000000" w:themeColor="text1"/>
                <w:lang w:eastAsia="ja-JP"/>
              </w:rPr>
              <w:t xml:space="preserve"> </w:t>
            </w:r>
            <w:r w:rsidR="004B11C4" w:rsidRPr="00E3023C">
              <w:rPr>
                <w:rFonts w:cstheme="minorHAnsi"/>
                <w:b/>
                <w:color w:val="000000" w:themeColor="text1"/>
                <w:lang w:eastAsia="ja-JP"/>
              </w:rPr>
              <w:t>Lucia Gray</w:t>
            </w:r>
            <w:r w:rsidR="00F9572E" w:rsidRPr="00E3023C">
              <w:rPr>
                <w:rFonts w:cstheme="minorHAnsi"/>
                <w:b/>
                <w:color w:val="000000" w:themeColor="text1"/>
                <w:vertAlign w:val="superscript"/>
                <w:lang w:eastAsia="ja-JP"/>
              </w:rPr>
              <w:t>1</w:t>
            </w:r>
            <w:r w:rsidR="004B11C4">
              <w:rPr>
                <w:rFonts w:cstheme="minorHAnsi"/>
                <w:bCs/>
                <w:color w:val="000000" w:themeColor="text1"/>
                <w:lang w:eastAsia="ja-JP"/>
              </w:rPr>
              <w:t>, Julie Brown</w:t>
            </w:r>
            <w:r w:rsidR="00F9572E" w:rsidRPr="00F9572E">
              <w:rPr>
                <w:rFonts w:cstheme="minorHAnsi"/>
                <w:bCs/>
                <w:color w:val="000000" w:themeColor="text1"/>
                <w:vertAlign w:val="superscript"/>
                <w:lang w:eastAsia="ja-JP"/>
              </w:rPr>
              <w:t>2</w:t>
            </w:r>
            <w:r w:rsidR="00F9572E">
              <w:rPr>
                <w:rFonts w:cstheme="minorHAnsi"/>
                <w:bCs/>
                <w:color w:val="000000" w:themeColor="text1"/>
                <w:lang w:eastAsia="ja-JP"/>
              </w:rPr>
              <w:t>,</w:t>
            </w:r>
            <w:r w:rsidR="004B11C4">
              <w:rPr>
                <w:rFonts w:cstheme="minorHAnsi"/>
                <w:bCs/>
                <w:color w:val="000000" w:themeColor="text1"/>
                <w:lang w:eastAsia="ja-JP"/>
              </w:rPr>
              <w:t xml:space="preserve"> Ulrich Noseck</w:t>
            </w:r>
            <w:r w:rsidR="00F9572E" w:rsidRPr="00F9572E">
              <w:rPr>
                <w:rFonts w:cstheme="minorHAnsi"/>
                <w:bCs/>
                <w:color w:val="000000" w:themeColor="text1"/>
                <w:vertAlign w:val="superscript"/>
                <w:lang w:eastAsia="ja-JP"/>
              </w:rPr>
              <w:t>3</w:t>
            </w:r>
            <w:r w:rsidR="004B11C4">
              <w:rPr>
                <w:rFonts w:cstheme="minorHAnsi"/>
                <w:bCs/>
                <w:color w:val="000000" w:themeColor="text1"/>
                <w:lang w:eastAsia="ja-JP"/>
              </w:rPr>
              <w:t>, Tom Peake</w:t>
            </w:r>
            <w:r w:rsidR="00F9572E" w:rsidRPr="00F9572E">
              <w:rPr>
                <w:rFonts w:cstheme="minorHAnsi"/>
                <w:bCs/>
                <w:color w:val="000000" w:themeColor="text1"/>
                <w:vertAlign w:val="superscript"/>
                <w:lang w:eastAsia="ja-JP"/>
              </w:rPr>
              <w:t>4</w:t>
            </w:r>
            <w:r w:rsidR="00F9572E">
              <w:rPr>
                <w:rFonts w:cstheme="minorHAnsi"/>
                <w:bCs/>
                <w:color w:val="000000" w:themeColor="text1"/>
                <w:lang w:eastAsia="ja-JP"/>
              </w:rPr>
              <w:t>,</w:t>
            </w:r>
            <w:r w:rsidR="004B11C4">
              <w:rPr>
                <w:rFonts w:cstheme="minorHAnsi"/>
                <w:bCs/>
                <w:color w:val="000000" w:themeColor="text1"/>
                <w:lang w:eastAsia="ja-JP"/>
              </w:rPr>
              <w:t xml:space="preserve"> </w:t>
            </w:r>
            <w:r w:rsidR="004B11C4" w:rsidRPr="00D113D9">
              <w:rPr>
                <w:rFonts w:cstheme="minorHAnsi"/>
                <w:bCs/>
                <w:color w:val="000000" w:themeColor="text1"/>
                <w:lang w:eastAsia="ja-JP"/>
              </w:rPr>
              <w:t>Shogo N</w:t>
            </w:r>
            <w:r w:rsidR="004B11C4">
              <w:rPr>
                <w:rFonts w:cstheme="minorHAnsi"/>
                <w:bCs/>
                <w:color w:val="000000" w:themeColor="text1"/>
                <w:lang w:eastAsia="ja-JP"/>
              </w:rPr>
              <w:t>ishikawa</w:t>
            </w:r>
            <w:r w:rsidR="00F9572E" w:rsidRPr="00F9572E">
              <w:rPr>
                <w:rFonts w:cstheme="minorHAnsi"/>
                <w:bCs/>
                <w:color w:val="000000" w:themeColor="text1"/>
                <w:vertAlign w:val="superscript"/>
                <w:lang w:eastAsia="ja-JP"/>
              </w:rPr>
              <w:t>5</w:t>
            </w:r>
            <w:r w:rsidR="004B11C4">
              <w:rPr>
                <w:rFonts w:cstheme="minorHAnsi"/>
                <w:bCs/>
                <w:color w:val="000000" w:themeColor="text1"/>
                <w:lang w:eastAsia="ja-JP"/>
              </w:rPr>
              <w:t xml:space="preserve"> et al.</w:t>
            </w:r>
          </w:p>
          <w:p w14:paraId="7DC0E2AE" w14:textId="77777777" w:rsidR="00AF3942" w:rsidRPr="00D66730" w:rsidRDefault="00AF3942" w:rsidP="002B0699">
            <w:pPr>
              <w:spacing w:before="60" w:after="60"/>
              <w:rPr>
                <w:rFonts w:cstheme="minorHAnsi"/>
                <w:b/>
                <w:color w:val="000000" w:themeColor="text1"/>
                <w:lang w:eastAsia="ja-JP"/>
              </w:rPr>
            </w:pPr>
          </w:p>
          <w:p w14:paraId="51C7ACF9" w14:textId="499825AB" w:rsidR="00F9572E" w:rsidRPr="00931AD3" w:rsidRDefault="00F9572E" w:rsidP="00F9572E">
            <w:pPr>
              <w:spacing w:before="60" w:after="60"/>
              <w:ind w:right="-187"/>
              <w:rPr>
                <w:rFonts w:ascii="Arial" w:hAnsi="Arial" w:cs="Arial"/>
                <w:sz w:val="18"/>
                <w:szCs w:val="18"/>
                <w:lang w:val="en-US" w:eastAsia="ja-JP"/>
              </w:rPr>
            </w:pPr>
            <w:r>
              <w:rPr>
                <w:rFonts w:ascii="Arial" w:hAnsi="Arial" w:cs="Arial"/>
                <w:sz w:val="18"/>
                <w:szCs w:val="18"/>
                <w:vertAlign w:val="superscript"/>
                <w:lang w:val="en-US" w:eastAsia="ja-JP"/>
              </w:rPr>
              <w:t>(</w:t>
            </w:r>
            <w:r w:rsidRPr="00931AD3">
              <w:rPr>
                <w:rFonts w:ascii="Arial" w:hAnsi="Arial" w:cs="Arial"/>
                <w:sz w:val="18"/>
                <w:szCs w:val="18"/>
                <w:vertAlign w:val="superscript"/>
                <w:lang w:val="en-US" w:eastAsia="ja-JP"/>
              </w:rPr>
              <w:t xml:space="preserve">1) </w:t>
            </w:r>
            <w:r w:rsidRPr="00931AD3">
              <w:rPr>
                <w:rFonts w:ascii="Arial" w:hAnsi="Arial" w:cs="Arial"/>
                <w:sz w:val="18"/>
                <w:szCs w:val="18"/>
                <w:lang w:val="en-US" w:eastAsia="ja-JP"/>
              </w:rPr>
              <w:t>Nuclear Waste Services</w:t>
            </w:r>
            <w:r>
              <w:rPr>
                <w:rFonts w:ascii="Arial" w:hAnsi="Arial" w:cs="Arial"/>
                <w:sz w:val="18"/>
                <w:szCs w:val="18"/>
                <w:lang w:val="en-US" w:eastAsia="ja-JP"/>
              </w:rPr>
              <w:t xml:space="preserve"> (NWS)</w:t>
            </w:r>
            <w:r w:rsidRPr="00931AD3">
              <w:rPr>
                <w:rFonts w:ascii="Arial" w:hAnsi="Arial" w:cs="Arial"/>
                <w:sz w:val="18"/>
                <w:szCs w:val="18"/>
                <w:lang w:val="en-US" w:eastAsia="ja-JP"/>
              </w:rPr>
              <w:t xml:space="preserve">, UK, </w:t>
            </w:r>
            <w:hyperlink r:id="rId11" w:history="1">
              <w:r w:rsidRPr="00931AD3">
                <w:rPr>
                  <w:rStyle w:val="Hyperlink"/>
                  <w:rFonts w:ascii="Arial" w:hAnsi="Arial" w:cs="Arial"/>
                  <w:sz w:val="18"/>
                  <w:szCs w:val="18"/>
                  <w:lang w:val="en-US" w:eastAsia="ja-JP"/>
                </w:rPr>
                <w:t>lucia.gray@nuclearwasteservices.uk</w:t>
              </w:r>
            </w:hyperlink>
            <w:r>
              <w:rPr>
                <w:rFonts w:ascii="Arial" w:hAnsi="Arial" w:cs="Arial"/>
                <w:sz w:val="18"/>
                <w:szCs w:val="18"/>
              </w:rPr>
              <w:t xml:space="preserve"> </w:t>
            </w:r>
          </w:p>
          <w:p w14:paraId="4CF8B3FB" w14:textId="1D3A95DA" w:rsidR="00F9572E" w:rsidRDefault="00F9572E" w:rsidP="00F9572E">
            <w:pPr>
              <w:spacing w:before="60" w:after="60"/>
              <w:rPr>
                <w:rFonts w:ascii="Arial" w:hAnsi="Arial" w:cs="Arial"/>
                <w:sz w:val="18"/>
                <w:szCs w:val="18"/>
                <w:lang w:val="en-US" w:eastAsia="ja-JP"/>
              </w:rPr>
            </w:pPr>
            <w:r w:rsidRPr="00931AD3">
              <w:rPr>
                <w:rFonts w:ascii="Arial" w:hAnsi="Arial" w:cs="Arial"/>
                <w:sz w:val="18"/>
                <w:szCs w:val="18"/>
                <w:vertAlign w:val="superscript"/>
                <w:lang w:val="en-US" w:eastAsia="ja-JP"/>
              </w:rPr>
              <w:t xml:space="preserve">(2) </w:t>
            </w:r>
            <w:r w:rsidRPr="00F9572E">
              <w:rPr>
                <w:rFonts w:ascii="Arial" w:hAnsi="Arial" w:cs="Arial"/>
                <w:sz w:val="18"/>
                <w:szCs w:val="18"/>
                <w:lang w:val="en-US" w:eastAsia="ja-JP"/>
              </w:rPr>
              <w:t>Canadian Nuclear Safety Commission</w:t>
            </w:r>
            <w:r>
              <w:rPr>
                <w:rFonts w:ascii="Arial" w:hAnsi="Arial" w:cs="Arial"/>
                <w:sz w:val="18"/>
                <w:szCs w:val="18"/>
                <w:lang w:val="en-US" w:eastAsia="ja-JP"/>
              </w:rPr>
              <w:t xml:space="preserve"> (CNSC), Canada</w:t>
            </w:r>
          </w:p>
          <w:p w14:paraId="41D82734" w14:textId="185027BD" w:rsidR="00F9572E" w:rsidRDefault="00F9572E" w:rsidP="00F9572E">
            <w:pPr>
              <w:spacing w:before="60" w:after="60"/>
              <w:rPr>
                <w:rFonts w:ascii="Arial" w:hAnsi="Arial" w:cs="Arial"/>
                <w:sz w:val="18"/>
                <w:szCs w:val="18"/>
                <w:lang w:val="en-US" w:eastAsia="ja-JP"/>
              </w:rPr>
            </w:pPr>
            <w:r w:rsidRPr="00931AD3">
              <w:rPr>
                <w:rFonts w:ascii="Arial" w:hAnsi="Arial" w:cs="Arial"/>
                <w:sz w:val="18"/>
                <w:szCs w:val="18"/>
                <w:vertAlign w:val="superscript"/>
                <w:lang w:val="en-US" w:eastAsia="ja-JP"/>
              </w:rPr>
              <w:t>(</w:t>
            </w:r>
            <w:r>
              <w:rPr>
                <w:rFonts w:ascii="Arial" w:hAnsi="Arial" w:cs="Arial"/>
                <w:sz w:val="18"/>
                <w:szCs w:val="18"/>
                <w:vertAlign w:val="superscript"/>
                <w:lang w:val="en-US" w:eastAsia="ja-JP"/>
              </w:rPr>
              <w:t>3</w:t>
            </w:r>
            <w:r w:rsidRPr="00931AD3">
              <w:rPr>
                <w:rFonts w:ascii="Arial" w:hAnsi="Arial" w:cs="Arial"/>
                <w:sz w:val="18"/>
                <w:szCs w:val="18"/>
                <w:vertAlign w:val="superscript"/>
                <w:lang w:val="en-US" w:eastAsia="ja-JP"/>
              </w:rPr>
              <w:t xml:space="preserve">) </w:t>
            </w:r>
            <w:r w:rsidRPr="00F9572E">
              <w:rPr>
                <w:rFonts w:ascii="Arial" w:hAnsi="Arial" w:cs="Arial"/>
                <w:sz w:val="18"/>
                <w:szCs w:val="18"/>
                <w:lang w:val="en-US" w:eastAsia="ja-JP"/>
              </w:rPr>
              <w:t>Gesellschaft für Anlagen</w:t>
            </w:r>
            <w:r>
              <w:rPr>
                <w:rFonts w:ascii="Arial" w:hAnsi="Arial" w:cs="Arial"/>
                <w:sz w:val="18"/>
                <w:szCs w:val="18"/>
                <w:lang w:val="en-US" w:eastAsia="ja-JP"/>
              </w:rPr>
              <w:t xml:space="preserve"> </w:t>
            </w:r>
            <w:r w:rsidRPr="00F9572E">
              <w:rPr>
                <w:rFonts w:ascii="Arial" w:hAnsi="Arial" w:cs="Arial"/>
                <w:sz w:val="18"/>
                <w:szCs w:val="18"/>
                <w:lang w:val="en-US" w:eastAsia="ja-JP"/>
              </w:rPr>
              <w:t xml:space="preserve">und </w:t>
            </w:r>
            <w:proofErr w:type="spellStart"/>
            <w:r w:rsidRPr="00F9572E">
              <w:rPr>
                <w:rFonts w:ascii="Arial" w:hAnsi="Arial" w:cs="Arial"/>
                <w:sz w:val="18"/>
                <w:szCs w:val="18"/>
                <w:lang w:val="en-US" w:eastAsia="ja-JP"/>
              </w:rPr>
              <w:t>Reaktorsicherheit</w:t>
            </w:r>
            <w:proofErr w:type="spellEnd"/>
            <w:r w:rsidRPr="00F9572E">
              <w:rPr>
                <w:rFonts w:ascii="Arial" w:hAnsi="Arial" w:cs="Arial"/>
                <w:sz w:val="18"/>
                <w:szCs w:val="18"/>
                <w:lang w:val="en-US" w:eastAsia="ja-JP"/>
              </w:rPr>
              <w:t xml:space="preserve"> (GRS) </w:t>
            </w:r>
            <w:proofErr w:type="spellStart"/>
            <w:r w:rsidRPr="00F9572E">
              <w:rPr>
                <w:rFonts w:ascii="Arial" w:hAnsi="Arial" w:cs="Arial"/>
                <w:sz w:val="18"/>
                <w:szCs w:val="18"/>
                <w:lang w:val="en-US" w:eastAsia="ja-JP"/>
              </w:rPr>
              <w:t>gGmbH</w:t>
            </w:r>
            <w:proofErr w:type="spellEnd"/>
            <w:r>
              <w:rPr>
                <w:rFonts w:ascii="Arial" w:hAnsi="Arial" w:cs="Arial"/>
                <w:sz w:val="18"/>
                <w:szCs w:val="18"/>
                <w:lang w:val="en-US" w:eastAsia="ja-JP"/>
              </w:rPr>
              <w:t>, Germany</w:t>
            </w:r>
          </w:p>
          <w:p w14:paraId="059E9D04" w14:textId="7DB80208" w:rsidR="00F9572E" w:rsidRDefault="00F9572E" w:rsidP="00F9572E">
            <w:pPr>
              <w:spacing w:before="60" w:after="60"/>
              <w:rPr>
                <w:rFonts w:ascii="Arial" w:hAnsi="Arial" w:cs="Arial"/>
                <w:sz w:val="18"/>
                <w:szCs w:val="18"/>
                <w:lang w:val="en-US" w:eastAsia="ja-JP"/>
              </w:rPr>
            </w:pPr>
            <w:r w:rsidRPr="00931AD3">
              <w:rPr>
                <w:rFonts w:ascii="Arial" w:hAnsi="Arial" w:cs="Arial"/>
                <w:sz w:val="18"/>
                <w:szCs w:val="18"/>
                <w:vertAlign w:val="superscript"/>
                <w:lang w:val="en-US" w:eastAsia="ja-JP"/>
              </w:rPr>
              <w:t>(</w:t>
            </w:r>
            <w:r>
              <w:rPr>
                <w:rFonts w:ascii="Arial" w:hAnsi="Arial" w:cs="Arial"/>
                <w:sz w:val="18"/>
                <w:szCs w:val="18"/>
                <w:vertAlign w:val="superscript"/>
                <w:lang w:val="en-US" w:eastAsia="ja-JP"/>
              </w:rPr>
              <w:t>4</w:t>
            </w:r>
            <w:r w:rsidRPr="00931AD3">
              <w:rPr>
                <w:rFonts w:ascii="Arial" w:hAnsi="Arial" w:cs="Arial"/>
                <w:sz w:val="18"/>
                <w:szCs w:val="18"/>
                <w:vertAlign w:val="superscript"/>
                <w:lang w:val="en-US" w:eastAsia="ja-JP"/>
              </w:rPr>
              <w:t xml:space="preserve">) </w:t>
            </w:r>
            <w:r w:rsidRPr="00F9572E">
              <w:rPr>
                <w:rFonts w:ascii="Arial" w:hAnsi="Arial" w:cs="Arial"/>
                <w:sz w:val="18"/>
                <w:szCs w:val="18"/>
                <w:lang w:val="en-US" w:eastAsia="ja-JP"/>
              </w:rPr>
              <w:t>Environmental Protection Agency</w:t>
            </w:r>
            <w:r>
              <w:rPr>
                <w:rFonts w:ascii="Arial" w:hAnsi="Arial" w:cs="Arial"/>
                <w:sz w:val="18"/>
                <w:szCs w:val="18"/>
                <w:lang w:val="en-US" w:eastAsia="ja-JP"/>
              </w:rPr>
              <w:t xml:space="preserve"> (EPA), United States</w:t>
            </w:r>
          </w:p>
          <w:p w14:paraId="6BC53966" w14:textId="1DE377D6" w:rsidR="00F9572E" w:rsidRPr="00F9572E" w:rsidRDefault="00F9572E" w:rsidP="00F9572E">
            <w:pPr>
              <w:spacing w:before="60" w:after="60"/>
              <w:rPr>
                <w:rFonts w:ascii="Arial" w:hAnsi="Arial" w:cs="Arial"/>
                <w:sz w:val="18"/>
                <w:szCs w:val="18"/>
                <w:lang w:val="en-US" w:eastAsia="ja-JP"/>
              </w:rPr>
            </w:pPr>
            <w:r w:rsidRPr="00931AD3">
              <w:rPr>
                <w:rFonts w:ascii="Arial" w:hAnsi="Arial" w:cs="Arial"/>
                <w:sz w:val="18"/>
                <w:szCs w:val="18"/>
                <w:vertAlign w:val="superscript"/>
                <w:lang w:val="en-US" w:eastAsia="ja-JP"/>
              </w:rPr>
              <w:t>(</w:t>
            </w:r>
            <w:r>
              <w:rPr>
                <w:rFonts w:ascii="Arial" w:hAnsi="Arial" w:cs="Arial"/>
                <w:sz w:val="18"/>
                <w:szCs w:val="18"/>
                <w:vertAlign w:val="superscript"/>
                <w:lang w:val="en-US" w:eastAsia="ja-JP"/>
              </w:rPr>
              <w:t>5</w:t>
            </w:r>
            <w:r w:rsidRPr="00931AD3">
              <w:rPr>
                <w:rFonts w:ascii="Arial" w:hAnsi="Arial" w:cs="Arial"/>
                <w:sz w:val="18"/>
                <w:szCs w:val="18"/>
                <w:vertAlign w:val="superscript"/>
                <w:lang w:val="en-US" w:eastAsia="ja-JP"/>
              </w:rPr>
              <w:t xml:space="preserve">) </w:t>
            </w:r>
            <w:r>
              <w:rPr>
                <w:rFonts w:ascii="Arial" w:hAnsi="Arial" w:cs="Arial"/>
                <w:sz w:val="18"/>
                <w:szCs w:val="18"/>
                <w:lang w:val="en-US" w:eastAsia="ja-JP"/>
              </w:rPr>
              <w:t>Nuclear Energy Agency (NEA)</w:t>
            </w:r>
          </w:p>
        </w:tc>
      </w:tr>
      <w:tr w:rsidR="00D66730" w:rsidRPr="00D66730" w14:paraId="330BCA96" w14:textId="77777777" w:rsidTr="00D66730">
        <w:trPr>
          <w:trHeight w:val="1067"/>
        </w:trPr>
        <w:tc>
          <w:tcPr>
            <w:tcW w:w="9083" w:type="dxa"/>
            <w:gridSpan w:val="2"/>
          </w:tcPr>
          <w:p w14:paraId="0223D0BE" w14:textId="66C2E958" w:rsidR="00C60BC5" w:rsidRPr="003A2ECE" w:rsidRDefault="00285532" w:rsidP="002B0699">
            <w:pPr>
              <w:spacing w:before="60" w:after="60"/>
              <w:rPr>
                <w:rFonts w:cstheme="minorHAnsi"/>
                <w:bCs/>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r w:rsidR="004D1BA1">
              <w:rPr>
                <w:rFonts w:cstheme="minorHAnsi"/>
                <w:b/>
                <w:color w:val="000000" w:themeColor="text1"/>
                <w:lang w:eastAsia="ja-JP"/>
              </w:rPr>
              <w:t xml:space="preserve"> </w:t>
            </w:r>
            <w:proofErr w:type="spellStart"/>
            <w:r w:rsidR="004D1BA1">
              <w:rPr>
                <w:rFonts w:cstheme="minorHAnsi"/>
                <w:bCs/>
                <w:color w:val="000000" w:themeColor="text1"/>
                <w:lang w:eastAsia="ja-JP"/>
              </w:rPr>
              <w:t>GeneSiS</w:t>
            </w:r>
            <w:proofErr w:type="spellEnd"/>
            <w:r w:rsidR="004D1BA1">
              <w:rPr>
                <w:rFonts w:cstheme="minorHAnsi"/>
                <w:bCs/>
                <w:color w:val="000000" w:themeColor="text1"/>
                <w:lang w:eastAsia="ja-JP"/>
              </w:rPr>
              <w:t>: Moving from Generic to Site-Specific Safety Cases</w:t>
            </w:r>
          </w:p>
        </w:tc>
      </w:tr>
      <w:tr w:rsidR="00D66730" w:rsidRPr="00D66730" w14:paraId="336BE7D3" w14:textId="77777777" w:rsidTr="00B77F3B">
        <w:trPr>
          <w:trHeight w:val="2684"/>
        </w:trPr>
        <w:tc>
          <w:tcPr>
            <w:tcW w:w="9083" w:type="dxa"/>
            <w:gridSpan w:val="2"/>
            <w:tcBorders>
              <w:bottom w:val="single" w:sz="4" w:space="0" w:color="auto"/>
            </w:tcBorders>
          </w:tcPr>
          <w:p w14:paraId="5D4B9EA3" w14:textId="77777777" w:rsidR="00285532" w:rsidRDefault="00AF3942" w:rsidP="002B0699">
            <w:pPr>
              <w:spacing w:before="60" w:after="60"/>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3E121D78" w14:textId="77777777" w:rsidR="000B38D5" w:rsidRPr="00A905D1" w:rsidRDefault="003A2ECE" w:rsidP="00A905D1">
            <w:pPr>
              <w:spacing w:after="160"/>
              <w:jc w:val="both"/>
              <w:rPr>
                <w:rFonts w:cstheme="minorHAnsi"/>
              </w:rPr>
            </w:pPr>
            <w:r w:rsidRPr="00A905D1">
              <w:rPr>
                <w:rFonts w:cstheme="minorHAnsi"/>
              </w:rPr>
              <w:t>The Integration Group for the Safety Case (IGSC) has launched the Generic to Site-Specific Safety Cases (</w:t>
            </w:r>
            <w:proofErr w:type="spellStart"/>
            <w:r w:rsidRPr="00A905D1">
              <w:rPr>
                <w:rFonts w:cstheme="minorHAnsi"/>
              </w:rPr>
              <w:t>GeneSiS</w:t>
            </w:r>
            <w:proofErr w:type="spellEnd"/>
            <w:r w:rsidRPr="00A905D1">
              <w:rPr>
                <w:rFonts w:cstheme="minorHAnsi"/>
              </w:rPr>
              <w:t>) project to provide a resource to help countries making the transition from generic to site-specific safety cases. It aims to do so by:</w:t>
            </w:r>
            <w:r w:rsidR="0002489D" w:rsidRPr="00A905D1">
              <w:rPr>
                <w:rFonts w:cstheme="minorHAnsi"/>
              </w:rPr>
              <w:t xml:space="preserve"> </w:t>
            </w:r>
          </w:p>
          <w:p w14:paraId="453AB4E5" w14:textId="77777777" w:rsidR="000B38D5" w:rsidRPr="00A905D1" w:rsidRDefault="003A2ECE" w:rsidP="00A905D1">
            <w:pPr>
              <w:pStyle w:val="ListParagraph"/>
              <w:numPr>
                <w:ilvl w:val="0"/>
                <w:numId w:val="5"/>
              </w:numPr>
              <w:spacing w:after="160"/>
              <w:ind w:left="589" w:hanging="357"/>
              <w:contextualSpacing w:val="0"/>
              <w:jc w:val="both"/>
              <w:rPr>
                <w:rFonts w:cstheme="minorHAnsi"/>
              </w:rPr>
            </w:pPr>
            <w:r w:rsidRPr="00A905D1">
              <w:rPr>
                <w:rFonts w:cstheme="minorHAnsi"/>
              </w:rPr>
              <w:t xml:space="preserve">providing a community of practice in which participating organisations can learn from the experience of more advanced programmes who have already completed elements of this </w:t>
            </w:r>
            <w:proofErr w:type="gramStart"/>
            <w:r w:rsidRPr="00A905D1">
              <w:rPr>
                <w:rFonts w:cstheme="minorHAnsi"/>
              </w:rPr>
              <w:t>transition;</w:t>
            </w:r>
            <w:proofErr w:type="gramEnd"/>
            <w:r w:rsidR="00007096" w:rsidRPr="00A905D1">
              <w:rPr>
                <w:rFonts w:cstheme="minorHAnsi"/>
              </w:rPr>
              <w:t xml:space="preserve"> </w:t>
            </w:r>
          </w:p>
          <w:p w14:paraId="7B76A197" w14:textId="77777777" w:rsidR="000B38D5" w:rsidRPr="00A905D1" w:rsidRDefault="003A2ECE" w:rsidP="00A905D1">
            <w:pPr>
              <w:pStyle w:val="ListParagraph"/>
              <w:numPr>
                <w:ilvl w:val="0"/>
                <w:numId w:val="5"/>
              </w:numPr>
              <w:spacing w:after="160"/>
              <w:ind w:left="589" w:hanging="357"/>
              <w:contextualSpacing w:val="0"/>
              <w:jc w:val="both"/>
              <w:rPr>
                <w:rFonts w:cstheme="minorHAnsi"/>
              </w:rPr>
            </w:pPr>
            <w:r w:rsidRPr="00A905D1">
              <w:rPr>
                <w:rFonts w:cstheme="minorHAnsi"/>
              </w:rPr>
              <w:t>producing guidance about which areas to focus on at different stages of the programme, what approaches are and aren’t suitable at different phases and how the approach may evolve as the programme progresses; and</w:t>
            </w:r>
          </w:p>
          <w:p w14:paraId="26085481" w14:textId="77777777" w:rsidR="000B38D5" w:rsidRPr="00A905D1" w:rsidRDefault="003A2ECE" w:rsidP="00A905D1">
            <w:pPr>
              <w:pStyle w:val="ListParagraph"/>
              <w:numPr>
                <w:ilvl w:val="0"/>
                <w:numId w:val="5"/>
              </w:numPr>
              <w:spacing w:after="160"/>
              <w:ind w:left="589" w:hanging="357"/>
              <w:contextualSpacing w:val="0"/>
              <w:jc w:val="both"/>
              <w:rPr>
                <w:rFonts w:cstheme="minorHAnsi"/>
              </w:rPr>
            </w:pPr>
            <w:r w:rsidRPr="00A905D1">
              <w:rPr>
                <w:rFonts w:cstheme="minorHAnsi"/>
              </w:rPr>
              <w:t>producing generic products that can be adopted and used as a common and internationally tested starting point for safety case and design development.</w:t>
            </w:r>
          </w:p>
          <w:p w14:paraId="1CB7B2F8" w14:textId="4A8E9E92" w:rsidR="003A2ECE" w:rsidRPr="00A905D1" w:rsidRDefault="003A2ECE" w:rsidP="00A905D1">
            <w:pPr>
              <w:spacing w:after="160"/>
              <w:jc w:val="both"/>
              <w:rPr>
                <w:rFonts w:cstheme="minorHAnsi"/>
              </w:rPr>
            </w:pPr>
            <w:r w:rsidRPr="00A905D1">
              <w:rPr>
                <w:rFonts w:cstheme="minorHAnsi"/>
              </w:rPr>
              <w:t>This is achieved through four tasks, each addressing a different questio</w:t>
            </w:r>
            <w:r w:rsidR="00436DF9" w:rsidRPr="00A905D1">
              <w:rPr>
                <w:rFonts w:cstheme="minorHAnsi"/>
              </w:rPr>
              <w:t>n.</w:t>
            </w:r>
          </w:p>
          <w:p w14:paraId="4E59926F" w14:textId="77777777" w:rsidR="003A2ECE" w:rsidRPr="00A905D1" w:rsidRDefault="003A2ECE" w:rsidP="00A905D1">
            <w:pPr>
              <w:spacing w:after="160" w:line="259" w:lineRule="auto"/>
              <w:jc w:val="both"/>
              <w:rPr>
                <w:rFonts w:cstheme="minorHAnsi"/>
                <w:b/>
              </w:rPr>
            </w:pPr>
            <w:r w:rsidRPr="00A905D1">
              <w:rPr>
                <w:rFonts w:cstheme="minorHAnsi"/>
                <w:b/>
              </w:rPr>
              <w:t>A) What are the stages of safety case development?</w:t>
            </w:r>
          </w:p>
          <w:p w14:paraId="5D538AF5" w14:textId="036D58D4" w:rsidR="003A2ECE" w:rsidRPr="00A905D1" w:rsidRDefault="003A2ECE" w:rsidP="00A905D1">
            <w:pPr>
              <w:spacing w:after="160"/>
              <w:jc w:val="both"/>
              <w:rPr>
                <w:rFonts w:cstheme="minorHAnsi"/>
              </w:rPr>
            </w:pPr>
            <w:r w:rsidRPr="00A905D1">
              <w:rPr>
                <w:rFonts w:cstheme="minorHAnsi"/>
              </w:rPr>
              <w:t xml:space="preserve">The evolution of the repository programme generally follows a </w:t>
            </w:r>
            <w:proofErr w:type="gramStart"/>
            <w:r w:rsidRPr="00A905D1">
              <w:rPr>
                <w:rFonts w:cstheme="minorHAnsi"/>
              </w:rPr>
              <w:t>fairly consistent</w:t>
            </w:r>
            <w:proofErr w:type="gramEnd"/>
            <w:r w:rsidRPr="00A905D1">
              <w:rPr>
                <w:rFonts w:cstheme="minorHAnsi"/>
              </w:rPr>
              <w:t xml:space="preserve"> set of stages, moving through initiation, siting, construction and operations, closure and post-closure. Guidance around key activities and approaches is often presented in this context. As part of </w:t>
            </w:r>
            <w:proofErr w:type="spellStart"/>
            <w:r w:rsidRPr="00A905D1">
              <w:rPr>
                <w:rFonts w:cstheme="minorHAnsi"/>
              </w:rPr>
              <w:t>GeneSiS</w:t>
            </w:r>
            <w:proofErr w:type="spellEnd"/>
            <w:r w:rsidRPr="00A905D1">
              <w:rPr>
                <w:rFonts w:cstheme="minorHAnsi"/>
              </w:rPr>
              <w:t xml:space="preserve">, a similar set of stages has been developed for the safety case. </w:t>
            </w:r>
            <w:r w:rsidR="00092B4C" w:rsidRPr="00A905D1">
              <w:rPr>
                <w:rFonts w:cstheme="minorHAnsi"/>
              </w:rPr>
              <w:t xml:space="preserve">Since safety case work is intrinsically tied to the development and assessment of a safety concept, the safety case stages are distinguished, primarily, by the level of maturity of the safety concept. </w:t>
            </w:r>
            <w:r w:rsidRPr="00A905D1">
              <w:rPr>
                <w:rFonts w:cstheme="minorHAnsi"/>
              </w:rPr>
              <w:t>Definitions of the different safety case stages and a schematic showing how these relate to programme phases and key milestones have been produced and used as a basis for subsequent tasks and guidance.</w:t>
            </w:r>
          </w:p>
          <w:p w14:paraId="6906C2A7" w14:textId="77777777" w:rsidR="003A2ECE" w:rsidRPr="00A905D1" w:rsidRDefault="003A2ECE" w:rsidP="00A905D1">
            <w:pPr>
              <w:spacing w:after="160" w:line="259" w:lineRule="auto"/>
              <w:jc w:val="both"/>
              <w:rPr>
                <w:rFonts w:cstheme="minorHAnsi"/>
              </w:rPr>
            </w:pPr>
            <w:r w:rsidRPr="00A905D1">
              <w:rPr>
                <w:rFonts w:cstheme="minorHAnsi"/>
                <w:b/>
              </w:rPr>
              <w:t>B) How do we move from generic to site-specific?</w:t>
            </w:r>
          </w:p>
          <w:p w14:paraId="43665EDA" w14:textId="0173E7D0" w:rsidR="003A2ECE" w:rsidRPr="00A905D1" w:rsidRDefault="003A2ECE" w:rsidP="00A905D1">
            <w:pPr>
              <w:spacing w:after="160" w:line="259" w:lineRule="auto"/>
              <w:jc w:val="both"/>
              <w:rPr>
                <w:rFonts w:cstheme="minorHAnsi"/>
              </w:rPr>
            </w:pPr>
            <w:r w:rsidRPr="00A905D1">
              <w:rPr>
                <w:rFonts w:cstheme="minorHAnsi"/>
              </w:rPr>
              <w:t xml:space="preserve">A comprehensive questionnaire has been developed and used as a framework for conducting structured interviews with representatives from waste management organisations from different countries. It includes sections on key safety case topics and </w:t>
            </w:r>
            <w:r w:rsidR="009A6BDE" w:rsidRPr="00A905D1">
              <w:rPr>
                <w:rFonts w:cstheme="minorHAnsi"/>
              </w:rPr>
              <w:t>uses</w:t>
            </w:r>
            <w:r w:rsidRPr="00A905D1">
              <w:rPr>
                <w:rFonts w:cstheme="minorHAnsi"/>
              </w:rPr>
              <w:t xml:space="preserve"> the safety case stages defined </w:t>
            </w:r>
            <w:r w:rsidR="004223FA" w:rsidRPr="00A905D1">
              <w:rPr>
                <w:rFonts w:cstheme="minorHAnsi"/>
              </w:rPr>
              <w:t xml:space="preserve">in </w:t>
            </w:r>
            <w:r w:rsidRPr="00A905D1">
              <w:rPr>
                <w:rFonts w:cstheme="minorHAnsi"/>
              </w:rPr>
              <w:t xml:space="preserve">task A to identify differences between countries and programme stages and explore trends in how the safety case evolves as the programme progresses. This </w:t>
            </w:r>
            <w:r w:rsidR="008B68D4" w:rsidRPr="00A905D1">
              <w:rPr>
                <w:rFonts w:cstheme="minorHAnsi"/>
              </w:rPr>
              <w:t>informs</w:t>
            </w:r>
            <w:r w:rsidRPr="00A905D1">
              <w:rPr>
                <w:rFonts w:cstheme="minorHAnsi"/>
              </w:rPr>
              <w:t xml:space="preserve"> guidance for countries on the most appropriate approaches depending on the stage at which they are working, the impacts of their </w:t>
            </w:r>
            <w:r w:rsidR="004223FA" w:rsidRPr="00A905D1">
              <w:rPr>
                <w:rFonts w:cstheme="minorHAnsi"/>
              </w:rPr>
              <w:t xml:space="preserve">current </w:t>
            </w:r>
            <w:r w:rsidRPr="00A905D1">
              <w:rPr>
                <w:rFonts w:cstheme="minorHAnsi"/>
              </w:rPr>
              <w:t>choices on future stages, and key considerations and best practices as they transition between stages.</w:t>
            </w:r>
          </w:p>
          <w:p w14:paraId="4951B766" w14:textId="77777777" w:rsidR="003A2ECE" w:rsidRPr="00A905D1" w:rsidRDefault="003A2ECE" w:rsidP="00A905D1">
            <w:pPr>
              <w:spacing w:after="160" w:line="259" w:lineRule="auto"/>
              <w:jc w:val="both"/>
              <w:rPr>
                <w:rFonts w:cstheme="minorHAnsi"/>
              </w:rPr>
            </w:pPr>
            <w:r w:rsidRPr="00A905D1">
              <w:rPr>
                <w:rFonts w:cstheme="minorHAnsi"/>
                <w:b/>
              </w:rPr>
              <w:t>C) What makes a safety case?</w:t>
            </w:r>
          </w:p>
          <w:p w14:paraId="5EF5949A" w14:textId="59EA37E7" w:rsidR="003A2ECE" w:rsidRPr="00A905D1" w:rsidRDefault="00AE4229" w:rsidP="00A905D1">
            <w:pPr>
              <w:spacing w:after="160"/>
              <w:jc w:val="both"/>
              <w:rPr>
                <w:rFonts w:cstheme="minorHAnsi"/>
              </w:rPr>
            </w:pPr>
            <w:r w:rsidRPr="00A905D1">
              <w:rPr>
                <w:rFonts w:cstheme="minorHAnsi"/>
              </w:rPr>
              <w:lastRenderedPageBreak/>
              <w:t>Safety case methods and expertise are used, alongside</w:t>
            </w:r>
            <w:r w:rsidR="003A2ECE" w:rsidRPr="00A905D1">
              <w:rPr>
                <w:rFonts w:cstheme="minorHAnsi"/>
              </w:rPr>
              <w:t xml:space="preserve"> established methods from the semantic web and systems engineering to develop a ‘safety case ontology’, an explicit formal structured visual representation of the different elements relevant to a safety case (e.g. FEPs, safety functions, engineered and natural barriers, models, assessments, data, claims, requirements, etc.) and how they interact with each other, alongside an accompanying set of definitions. The resulting generic safety case ontology can be used as a basis for the development of digital tools, with associated benefits in consistency, change control, knowledge management, search, and useability. By presenting it in a concise visual format, it can also be used as a communication tool and training resource for people from diverse disciplines to familiarise themselves</w:t>
            </w:r>
            <w:r w:rsidR="00356497" w:rsidRPr="00A905D1">
              <w:rPr>
                <w:rFonts w:cstheme="minorHAnsi"/>
              </w:rPr>
              <w:t xml:space="preserve"> quickly</w:t>
            </w:r>
            <w:r w:rsidR="003A2ECE" w:rsidRPr="00A905D1">
              <w:rPr>
                <w:rFonts w:cstheme="minorHAnsi"/>
              </w:rPr>
              <w:t xml:space="preserve"> with safety case methods and their wider context.</w:t>
            </w:r>
          </w:p>
          <w:p w14:paraId="0E52BBE7" w14:textId="77777777" w:rsidR="003A2ECE" w:rsidRPr="00A905D1" w:rsidRDefault="003A2ECE" w:rsidP="00A905D1">
            <w:pPr>
              <w:spacing w:after="160" w:line="259" w:lineRule="auto"/>
              <w:jc w:val="both"/>
              <w:rPr>
                <w:rFonts w:cstheme="minorHAnsi"/>
              </w:rPr>
            </w:pPr>
            <w:r w:rsidRPr="00A905D1">
              <w:rPr>
                <w:rFonts w:cstheme="minorHAnsi"/>
                <w:b/>
              </w:rPr>
              <w:t>D) How is safety provided in different environments?</w:t>
            </w:r>
          </w:p>
          <w:p w14:paraId="6667B3DC" w14:textId="1B09C0C8" w:rsidR="003A2ECE" w:rsidRPr="003A2ECE" w:rsidRDefault="003A2ECE" w:rsidP="00A905D1">
            <w:pPr>
              <w:spacing w:after="160"/>
              <w:jc w:val="both"/>
              <w:rPr>
                <w:rFonts w:ascii="Arial" w:hAnsi="Arial" w:cs="Arial"/>
                <w:sz w:val="18"/>
                <w:szCs w:val="18"/>
              </w:rPr>
            </w:pPr>
            <w:r w:rsidRPr="00A905D1">
              <w:rPr>
                <w:rFonts w:cstheme="minorHAnsi"/>
              </w:rPr>
              <w:t xml:space="preserve">Literature review and the results of questionnaires conducted as part of Task A </w:t>
            </w:r>
            <w:r w:rsidR="00A66BBC" w:rsidRPr="00A905D1">
              <w:rPr>
                <w:rFonts w:cstheme="minorHAnsi"/>
              </w:rPr>
              <w:t>are</w:t>
            </w:r>
            <w:r w:rsidRPr="00A905D1">
              <w:rPr>
                <w:rFonts w:cstheme="minorHAnsi"/>
              </w:rPr>
              <w:t xml:space="preserve"> used to analyse waste inventories, geologies and concepts that have been investigated internationally and develop a catalogue of international concepts, including the</w:t>
            </w:r>
            <w:r w:rsidR="00356497" w:rsidRPr="00A905D1">
              <w:rPr>
                <w:rFonts w:cstheme="minorHAnsi"/>
              </w:rPr>
              <w:t>ir associated</w:t>
            </w:r>
            <w:r w:rsidRPr="00A905D1">
              <w:rPr>
                <w:rFonts w:cstheme="minorHAnsi"/>
              </w:rPr>
              <w:t xml:space="preserve"> barriers and safety functions. By grouping together concepts with similar inventories, geologies, natural </w:t>
            </w:r>
            <w:proofErr w:type="gramStart"/>
            <w:r w:rsidRPr="00A905D1">
              <w:rPr>
                <w:rFonts w:cstheme="minorHAnsi"/>
              </w:rPr>
              <w:t>barriers</w:t>
            </w:r>
            <w:proofErr w:type="gramEnd"/>
            <w:r w:rsidRPr="00A905D1">
              <w:rPr>
                <w:rFonts w:cstheme="minorHAnsi"/>
              </w:rPr>
              <w:t xml:space="preserve"> and key safety functions, while being careful to consider the national context in which each concept was developed, a small set of generic safety concepts</w:t>
            </w:r>
            <w:r w:rsidR="00B77F3B" w:rsidRPr="00A905D1">
              <w:rPr>
                <w:rFonts w:cstheme="minorHAnsi"/>
              </w:rPr>
              <w:t xml:space="preserve"> and safety function</w:t>
            </w:r>
            <w:r w:rsidR="00AD6AAF" w:rsidRPr="00A905D1">
              <w:rPr>
                <w:rFonts w:cstheme="minorHAnsi"/>
              </w:rPr>
              <w:t>s</w:t>
            </w:r>
            <w:r w:rsidRPr="00A905D1">
              <w:rPr>
                <w:rFonts w:cstheme="minorHAnsi"/>
              </w:rPr>
              <w:t xml:space="preserve"> </w:t>
            </w:r>
            <w:r w:rsidR="00A66BBC" w:rsidRPr="00A905D1">
              <w:rPr>
                <w:rFonts w:cstheme="minorHAnsi"/>
              </w:rPr>
              <w:t>is</w:t>
            </w:r>
            <w:r w:rsidR="00B77F3B" w:rsidRPr="00A905D1">
              <w:rPr>
                <w:rFonts w:cstheme="minorHAnsi"/>
              </w:rPr>
              <w:t xml:space="preserve"> being</w:t>
            </w:r>
            <w:r w:rsidRPr="00A905D1">
              <w:rPr>
                <w:rFonts w:cstheme="minorHAnsi"/>
              </w:rPr>
              <w:t xml:space="preserve"> defined for different geological environments, based on crystalline, clay and salt host rocks.</w:t>
            </w:r>
            <w:r w:rsidR="00956747" w:rsidRPr="00A905D1">
              <w:rPr>
                <w:rFonts w:cstheme="minorHAnsi"/>
              </w:rPr>
              <w:t xml:space="preserve"> </w:t>
            </w:r>
            <w:r w:rsidRPr="00A905D1">
              <w:rPr>
                <w:rFonts w:cstheme="minorHAnsi"/>
              </w:rPr>
              <w:t>These can be used as a good starting point for most countries investigating geological disposal.</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310B6F">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B648B" w14:textId="77777777" w:rsidR="00E70B03" w:rsidRDefault="00E70B03" w:rsidP="00AF3942">
      <w:pPr>
        <w:spacing w:after="0" w:line="240" w:lineRule="auto"/>
      </w:pPr>
      <w:r>
        <w:separator/>
      </w:r>
    </w:p>
  </w:endnote>
  <w:endnote w:type="continuationSeparator" w:id="0">
    <w:p w14:paraId="6FD68EFC" w14:textId="77777777" w:rsidR="00E70B03" w:rsidRDefault="00E70B03" w:rsidP="00AF3942">
      <w:pPr>
        <w:spacing w:after="0" w:line="240" w:lineRule="auto"/>
      </w:pPr>
      <w:r>
        <w:continuationSeparator/>
      </w:r>
    </w:p>
  </w:endnote>
  <w:endnote w:type="continuationNotice" w:id="1">
    <w:p w14:paraId="2BB5C512" w14:textId="77777777" w:rsidR="00E70B03" w:rsidRDefault="00E70B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615B8" w14:textId="77777777" w:rsidR="00E70B03" w:rsidRDefault="00E70B03" w:rsidP="00AF3942">
      <w:pPr>
        <w:spacing w:after="0" w:line="240" w:lineRule="auto"/>
      </w:pPr>
      <w:r>
        <w:separator/>
      </w:r>
    </w:p>
  </w:footnote>
  <w:footnote w:type="continuationSeparator" w:id="0">
    <w:p w14:paraId="200C9DDB" w14:textId="77777777" w:rsidR="00E70B03" w:rsidRDefault="00E70B03" w:rsidP="00AF3942">
      <w:pPr>
        <w:spacing w:after="0" w:line="240" w:lineRule="auto"/>
      </w:pPr>
      <w:r>
        <w:continuationSeparator/>
      </w:r>
    </w:p>
  </w:footnote>
  <w:footnote w:type="continuationNotice" w:id="1">
    <w:p w14:paraId="5AA12FDE" w14:textId="77777777" w:rsidR="00E70B03" w:rsidRDefault="00E70B0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F5B8E"/>
    <w:multiLevelType w:val="hybridMultilevel"/>
    <w:tmpl w:val="3C6A0C76"/>
    <w:lvl w:ilvl="0" w:tplc="5C92AE78">
      <w:start w:val="1"/>
      <w:numFmt w:val="bullet"/>
      <w:lvlText w:val="•"/>
      <w:lvlJc w:val="left"/>
      <w:pPr>
        <w:tabs>
          <w:tab w:val="num" w:pos="720"/>
        </w:tabs>
        <w:ind w:left="720" w:hanging="360"/>
      </w:pPr>
      <w:rPr>
        <w:rFonts w:ascii="Arial" w:hAnsi="Arial" w:hint="default"/>
      </w:rPr>
    </w:lvl>
    <w:lvl w:ilvl="1" w:tplc="9D24D73A" w:tentative="1">
      <w:start w:val="1"/>
      <w:numFmt w:val="bullet"/>
      <w:lvlText w:val="•"/>
      <w:lvlJc w:val="left"/>
      <w:pPr>
        <w:tabs>
          <w:tab w:val="num" w:pos="1440"/>
        </w:tabs>
        <w:ind w:left="1440" w:hanging="360"/>
      </w:pPr>
      <w:rPr>
        <w:rFonts w:ascii="Arial" w:hAnsi="Arial" w:hint="default"/>
      </w:rPr>
    </w:lvl>
    <w:lvl w:ilvl="2" w:tplc="83168722" w:tentative="1">
      <w:start w:val="1"/>
      <w:numFmt w:val="bullet"/>
      <w:lvlText w:val="•"/>
      <w:lvlJc w:val="left"/>
      <w:pPr>
        <w:tabs>
          <w:tab w:val="num" w:pos="2160"/>
        </w:tabs>
        <w:ind w:left="2160" w:hanging="360"/>
      </w:pPr>
      <w:rPr>
        <w:rFonts w:ascii="Arial" w:hAnsi="Arial" w:hint="default"/>
      </w:rPr>
    </w:lvl>
    <w:lvl w:ilvl="3" w:tplc="A552D1B6" w:tentative="1">
      <w:start w:val="1"/>
      <w:numFmt w:val="bullet"/>
      <w:lvlText w:val="•"/>
      <w:lvlJc w:val="left"/>
      <w:pPr>
        <w:tabs>
          <w:tab w:val="num" w:pos="2880"/>
        </w:tabs>
        <w:ind w:left="2880" w:hanging="360"/>
      </w:pPr>
      <w:rPr>
        <w:rFonts w:ascii="Arial" w:hAnsi="Arial" w:hint="default"/>
      </w:rPr>
    </w:lvl>
    <w:lvl w:ilvl="4" w:tplc="AFBC69BE" w:tentative="1">
      <w:start w:val="1"/>
      <w:numFmt w:val="bullet"/>
      <w:lvlText w:val="•"/>
      <w:lvlJc w:val="left"/>
      <w:pPr>
        <w:tabs>
          <w:tab w:val="num" w:pos="3600"/>
        </w:tabs>
        <w:ind w:left="3600" w:hanging="360"/>
      </w:pPr>
      <w:rPr>
        <w:rFonts w:ascii="Arial" w:hAnsi="Arial" w:hint="default"/>
      </w:rPr>
    </w:lvl>
    <w:lvl w:ilvl="5" w:tplc="FD4E4F1A" w:tentative="1">
      <w:start w:val="1"/>
      <w:numFmt w:val="bullet"/>
      <w:lvlText w:val="•"/>
      <w:lvlJc w:val="left"/>
      <w:pPr>
        <w:tabs>
          <w:tab w:val="num" w:pos="4320"/>
        </w:tabs>
        <w:ind w:left="4320" w:hanging="360"/>
      </w:pPr>
      <w:rPr>
        <w:rFonts w:ascii="Arial" w:hAnsi="Arial" w:hint="default"/>
      </w:rPr>
    </w:lvl>
    <w:lvl w:ilvl="6" w:tplc="265CEC12" w:tentative="1">
      <w:start w:val="1"/>
      <w:numFmt w:val="bullet"/>
      <w:lvlText w:val="•"/>
      <w:lvlJc w:val="left"/>
      <w:pPr>
        <w:tabs>
          <w:tab w:val="num" w:pos="5040"/>
        </w:tabs>
        <w:ind w:left="5040" w:hanging="360"/>
      </w:pPr>
      <w:rPr>
        <w:rFonts w:ascii="Arial" w:hAnsi="Arial" w:hint="default"/>
      </w:rPr>
    </w:lvl>
    <w:lvl w:ilvl="7" w:tplc="16D09B54" w:tentative="1">
      <w:start w:val="1"/>
      <w:numFmt w:val="bullet"/>
      <w:lvlText w:val="•"/>
      <w:lvlJc w:val="left"/>
      <w:pPr>
        <w:tabs>
          <w:tab w:val="num" w:pos="5760"/>
        </w:tabs>
        <w:ind w:left="5760" w:hanging="360"/>
      </w:pPr>
      <w:rPr>
        <w:rFonts w:ascii="Arial" w:hAnsi="Arial" w:hint="default"/>
      </w:rPr>
    </w:lvl>
    <w:lvl w:ilvl="8" w:tplc="6E1CC4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C0C6257"/>
    <w:multiLevelType w:val="hybridMultilevel"/>
    <w:tmpl w:val="C3F40A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3"/>
  </w:num>
  <w:num w:numId="2" w16cid:durableId="1627541623">
    <w:abstractNumId w:val="1"/>
  </w:num>
  <w:num w:numId="3" w16cid:durableId="612253574">
    <w:abstractNumId w:val="4"/>
  </w:num>
  <w:num w:numId="4" w16cid:durableId="1820146463">
    <w:abstractNumId w:val="0"/>
  </w:num>
  <w:num w:numId="5" w16cid:durableId="1167406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07096"/>
    <w:rsid w:val="0002489D"/>
    <w:rsid w:val="00092B4C"/>
    <w:rsid w:val="000B38D5"/>
    <w:rsid w:val="000F4BBC"/>
    <w:rsid w:val="001215B8"/>
    <w:rsid w:val="00140E6B"/>
    <w:rsid w:val="002419DC"/>
    <w:rsid w:val="0024518F"/>
    <w:rsid w:val="00270790"/>
    <w:rsid w:val="00270973"/>
    <w:rsid w:val="00285532"/>
    <w:rsid w:val="00293295"/>
    <w:rsid w:val="002B0699"/>
    <w:rsid w:val="002C48DA"/>
    <w:rsid w:val="00310B6F"/>
    <w:rsid w:val="00313E25"/>
    <w:rsid w:val="00324EA0"/>
    <w:rsid w:val="00347351"/>
    <w:rsid w:val="00356497"/>
    <w:rsid w:val="003A194B"/>
    <w:rsid w:val="003A2ECE"/>
    <w:rsid w:val="003C62C3"/>
    <w:rsid w:val="003D606A"/>
    <w:rsid w:val="004223FA"/>
    <w:rsid w:val="00436DF9"/>
    <w:rsid w:val="00461464"/>
    <w:rsid w:val="004B11C4"/>
    <w:rsid w:val="004C304F"/>
    <w:rsid w:val="004D1BA1"/>
    <w:rsid w:val="005208E7"/>
    <w:rsid w:val="005B32B7"/>
    <w:rsid w:val="005E6893"/>
    <w:rsid w:val="0067177D"/>
    <w:rsid w:val="006C34A0"/>
    <w:rsid w:val="0072559A"/>
    <w:rsid w:val="007616DA"/>
    <w:rsid w:val="0077682E"/>
    <w:rsid w:val="00783EB2"/>
    <w:rsid w:val="007E39C3"/>
    <w:rsid w:val="007F476C"/>
    <w:rsid w:val="008627E3"/>
    <w:rsid w:val="008B68D4"/>
    <w:rsid w:val="008C2489"/>
    <w:rsid w:val="009249FD"/>
    <w:rsid w:val="00956747"/>
    <w:rsid w:val="009A6BDE"/>
    <w:rsid w:val="009B317C"/>
    <w:rsid w:val="009C3C04"/>
    <w:rsid w:val="00A45CA5"/>
    <w:rsid w:val="00A66BBC"/>
    <w:rsid w:val="00A905D1"/>
    <w:rsid w:val="00AD6AAF"/>
    <w:rsid w:val="00AE4229"/>
    <w:rsid w:val="00AF3942"/>
    <w:rsid w:val="00B22460"/>
    <w:rsid w:val="00B22E8F"/>
    <w:rsid w:val="00B77F3B"/>
    <w:rsid w:val="00C60BC5"/>
    <w:rsid w:val="00CD5585"/>
    <w:rsid w:val="00D113D9"/>
    <w:rsid w:val="00D41A45"/>
    <w:rsid w:val="00D66730"/>
    <w:rsid w:val="00D7639A"/>
    <w:rsid w:val="00DB5072"/>
    <w:rsid w:val="00DB6830"/>
    <w:rsid w:val="00E02954"/>
    <w:rsid w:val="00E3023C"/>
    <w:rsid w:val="00E70B03"/>
    <w:rsid w:val="00EB5989"/>
    <w:rsid w:val="00ED483F"/>
    <w:rsid w:val="00F9572E"/>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387235AB-26E2-4FD4-A465-69C1D2A81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Header">
    <w:name w:val="header"/>
    <w:basedOn w:val="Normal"/>
    <w:link w:val="HeaderChar"/>
    <w:uiPriority w:val="99"/>
    <w:semiHidden/>
    <w:unhideWhenUsed/>
    <w:rsid w:val="005E689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E6893"/>
  </w:style>
  <w:style w:type="paragraph" w:styleId="Footer">
    <w:name w:val="footer"/>
    <w:basedOn w:val="Normal"/>
    <w:link w:val="FooterChar"/>
    <w:uiPriority w:val="99"/>
    <w:semiHidden/>
    <w:unhideWhenUsed/>
    <w:rsid w:val="005E689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E6893"/>
  </w:style>
  <w:style w:type="character" w:styleId="Hyperlink">
    <w:name w:val="Hyperlink"/>
    <w:basedOn w:val="DefaultParagraphFont"/>
    <w:uiPriority w:val="99"/>
    <w:unhideWhenUsed/>
    <w:rsid w:val="00F957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29841">
      <w:bodyDiv w:val="1"/>
      <w:marLeft w:val="0"/>
      <w:marRight w:val="0"/>
      <w:marTop w:val="0"/>
      <w:marBottom w:val="0"/>
      <w:divBdr>
        <w:top w:val="none" w:sz="0" w:space="0" w:color="auto"/>
        <w:left w:val="none" w:sz="0" w:space="0" w:color="auto"/>
        <w:bottom w:val="none" w:sz="0" w:space="0" w:color="auto"/>
        <w:right w:val="none" w:sz="0" w:space="0" w:color="auto"/>
      </w:divBdr>
      <w:divsChild>
        <w:div w:id="346635388">
          <w:marLeft w:val="0"/>
          <w:marRight w:val="0"/>
          <w:marTop w:val="0"/>
          <w:marBottom w:val="0"/>
          <w:divBdr>
            <w:top w:val="none" w:sz="0" w:space="0" w:color="auto"/>
            <w:left w:val="none" w:sz="0" w:space="0" w:color="auto"/>
            <w:bottom w:val="none" w:sz="0" w:space="0" w:color="auto"/>
            <w:right w:val="none" w:sz="0" w:space="0" w:color="auto"/>
          </w:divBdr>
        </w:div>
      </w:divsChild>
    </w:div>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ucia.gray@nuclearwasteservices.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57A3B6-B31E-416C-AA65-CC05CAFC1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E647D6-56BF-44C2-85FF-03AC117F4D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4.xml><?xml version="1.0" encoding="utf-8"?>
<ds:datastoreItem xmlns:ds="http://schemas.openxmlformats.org/officeDocument/2006/customXml" ds:itemID="{ACF7B444-72F9-4207-A6E8-90FFD221B3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719</Words>
  <Characters>4129</Characters>
  <Application>Microsoft Office Word</Application>
  <DocSecurity>0</DocSecurity>
  <Lines>68</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KWONG Gloria, NEA/PR</dc:creator>
  <cp:keywords/>
  <cp:lastModifiedBy>LI Zhuoran, NEA/RWMD</cp:lastModifiedBy>
  <cp:revision>8</cp:revision>
  <dcterms:created xsi:type="dcterms:W3CDTF">2024-05-15T10:14:00Z</dcterms:created>
  <dcterms:modified xsi:type="dcterms:W3CDTF">2024-05-20T11:51:00Z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MSIP_Label_630c0ab6-a5d1-409a-be46-926fb63016fe_Enabled">
    <vt:lpwstr>true</vt:lpwstr>
  </property>
  <property fmtid="{D5CDD505-2E9C-101B-9397-08002B2CF9AE}" pid="4" name="MSIP_Label_630c0ab6-a5d1-409a-be46-926fb63016fe_SetDate">
    <vt:lpwstr>2024-02-25T22:55:43Z</vt:lpwstr>
  </property>
  <property fmtid="{D5CDD505-2E9C-101B-9397-08002B2CF9AE}" pid="5" name="MSIP_Label_630c0ab6-a5d1-409a-be46-926fb63016fe_Method">
    <vt:lpwstr>Privileged</vt:lpwstr>
  </property>
  <property fmtid="{D5CDD505-2E9C-101B-9397-08002B2CF9AE}" pid="6" name="MSIP_Label_630c0ab6-a5d1-409a-be46-926fb63016fe_Name">
    <vt:lpwstr>OFFICIAL-No-Marking</vt:lpwstr>
  </property>
  <property fmtid="{D5CDD505-2E9C-101B-9397-08002B2CF9AE}" pid="7" name="MSIP_Label_630c0ab6-a5d1-409a-be46-926fb63016fe_SiteId">
    <vt:lpwstr>1929b5b6-230e-4b2e-837a-b96f0a9b1b56</vt:lpwstr>
  </property>
  <property fmtid="{D5CDD505-2E9C-101B-9397-08002B2CF9AE}" pid="8" name="MSIP_Label_630c0ab6-a5d1-409a-be46-926fb63016fe_ActionId">
    <vt:lpwstr>c2162d72-124d-4277-833b-6d9265dabdd1</vt:lpwstr>
  </property>
  <property fmtid="{D5CDD505-2E9C-101B-9397-08002B2CF9AE}" pid="9" name="MSIP_Label_630c0ab6-a5d1-409a-be46-926fb63016fe_ContentBits">
    <vt:lpwstr>0</vt:lpwstr>
  </property>
  <property fmtid="{D5CDD505-2E9C-101B-9397-08002B2CF9AE}" pid="10" name="ContentTypeId">
    <vt:lpwstr>0x01010002FAEBA6069C9F458C0085404E0C5FFE</vt:lpwstr>
  </property>
</Properties>
</file>