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9209" w:type="dxa"/>
        <w:tblLook w:val="04A0" w:firstRow="1" w:lastRow="0" w:firstColumn="1" w:lastColumn="0" w:noHBand="0" w:noVBand="1"/>
      </w:tblPr>
      <w:tblGrid>
        <w:gridCol w:w="4499"/>
        <w:gridCol w:w="4710"/>
      </w:tblGrid>
      <w:tr w:rsidR="00ED483F" w:rsidRPr="00AF3942" w14:paraId="0F2720A1" w14:textId="77777777" w:rsidTr="14FD9B09">
        <w:tc>
          <w:tcPr>
            <w:tcW w:w="4499" w:type="dxa"/>
          </w:tcPr>
          <w:p w14:paraId="49CAC052" w14:textId="7D9DB49B"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F96093">
              <w:rPr>
                <w:rFonts w:cstheme="minorHAnsi"/>
                <w:b/>
                <w:lang w:eastAsia="ja-JP"/>
              </w:rPr>
              <w:t>39</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710" w:type="dxa"/>
          </w:tcPr>
          <w:p w14:paraId="0240E894" w14:textId="12E2CDBB" w:rsidR="00ED483F" w:rsidRPr="006C4199" w:rsidRDefault="006C4199" w:rsidP="00AF3942">
            <w:pPr>
              <w:spacing w:before="60" w:after="60"/>
              <w:ind w:right="-187"/>
              <w:rPr>
                <w:rFonts w:cstheme="minorHAnsi" w:hint="eastAsia"/>
                <w:b/>
                <w:lang w:eastAsia="zh-CN"/>
              </w:rPr>
            </w:pPr>
            <w:r>
              <w:rPr>
                <w:rFonts w:cstheme="minorHAnsi" w:hint="eastAsia"/>
                <w:b/>
                <w:lang w:eastAsia="zh-CN"/>
              </w:rPr>
              <w:t>Session 6.2.1</w:t>
            </w:r>
          </w:p>
        </w:tc>
      </w:tr>
      <w:tr w:rsidR="00ED483F" w:rsidRPr="0011167C" w14:paraId="1BD80930" w14:textId="77777777" w:rsidTr="14FD9B09">
        <w:trPr>
          <w:trHeight w:val="461"/>
        </w:trPr>
        <w:tc>
          <w:tcPr>
            <w:tcW w:w="9209" w:type="dxa"/>
            <w:gridSpan w:val="2"/>
          </w:tcPr>
          <w:p w14:paraId="6B1B7011" w14:textId="77777777" w:rsidR="00C60BC5" w:rsidRDefault="00ED483F" w:rsidP="00C60BC5">
            <w:pPr>
              <w:spacing w:before="60" w:after="60"/>
              <w:ind w:right="-187"/>
              <w:rPr>
                <w:rFonts w:cstheme="minorHAnsi"/>
                <w:b/>
                <w:lang w:val="de-DE" w:eastAsia="ja-JP"/>
              </w:rPr>
            </w:pPr>
            <w:proofErr w:type="spellStart"/>
            <w:r w:rsidRPr="0051751D">
              <w:rPr>
                <w:rFonts w:cstheme="minorHAnsi"/>
                <w:b/>
                <w:lang w:val="de-DE"/>
              </w:rPr>
              <w:t>Author</w:t>
            </w:r>
            <w:proofErr w:type="spellEnd"/>
            <w:r w:rsidR="00AF3942" w:rsidRPr="0051751D">
              <w:rPr>
                <w:rFonts w:cstheme="minorHAnsi"/>
                <w:b/>
                <w:lang w:val="de-DE" w:eastAsia="ja-JP"/>
              </w:rPr>
              <w:t>:</w:t>
            </w:r>
          </w:p>
          <w:p w14:paraId="000AF179" w14:textId="0094C1AD" w:rsidR="00F04098" w:rsidRPr="00F04098" w:rsidRDefault="00F04098" w:rsidP="00C60BC5">
            <w:pPr>
              <w:spacing w:before="60" w:after="60"/>
              <w:ind w:right="-187"/>
              <w:rPr>
                <w:rFonts w:cstheme="minorHAnsi"/>
                <w:bCs/>
                <w:lang w:val="de-DE" w:eastAsia="ja-JP"/>
              </w:rPr>
            </w:pPr>
            <w:r w:rsidRPr="00526970">
              <w:rPr>
                <w:rFonts w:cstheme="minorHAnsi"/>
                <w:bCs/>
                <w:u w:val="single"/>
                <w:lang w:val="de-DE" w:eastAsia="ja-JP"/>
              </w:rPr>
              <w:t>V. Wasselin</w:t>
            </w:r>
            <w:r w:rsidR="0011167C" w:rsidRPr="00526970">
              <w:rPr>
                <w:rFonts w:cstheme="minorHAnsi"/>
                <w:bCs/>
                <w:u w:val="single"/>
                <w:vertAlign w:val="superscript"/>
                <w:lang w:val="de-DE" w:eastAsia="ja-JP"/>
              </w:rPr>
              <w:t>1</w:t>
            </w:r>
            <w:r w:rsidR="0011167C">
              <w:rPr>
                <w:rFonts w:cstheme="minorHAnsi"/>
                <w:bCs/>
                <w:lang w:val="de-DE" w:eastAsia="ja-JP"/>
              </w:rPr>
              <w:t xml:space="preserve"> (</w:t>
            </w:r>
            <w:hyperlink r:id="rId11" w:history="1">
              <w:r w:rsidR="0011167C" w:rsidRPr="0077530C">
                <w:rPr>
                  <w:rStyle w:val="Hyperlink"/>
                  <w:rFonts w:cstheme="minorHAnsi"/>
                  <w:bCs/>
                  <w:lang w:val="de-DE" w:eastAsia="ja-JP"/>
                </w:rPr>
                <w:t>virginie.wasselin@andra.fr</w:t>
              </w:r>
            </w:hyperlink>
            <w:r w:rsidR="0011167C">
              <w:rPr>
                <w:rFonts w:cstheme="minorHAnsi"/>
                <w:bCs/>
                <w:lang w:val="de-DE" w:eastAsia="ja-JP"/>
              </w:rPr>
              <w:t xml:space="preserve"> )</w:t>
            </w:r>
            <w:r w:rsidRPr="00F04098">
              <w:rPr>
                <w:rFonts w:cstheme="minorHAnsi"/>
                <w:bCs/>
                <w:lang w:val="de-DE" w:eastAsia="ja-JP"/>
              </w:rPr>
              <w:t>, B.Cordier</w:t>
            </w:r>
            <w:r w:rsidR="0011167C" w:rsidRPr="0011167C">
              <w:rPr>
                <w:rFonts w:cstheme="minorHAnsi"/>
                <w:bCs/>
                <w:vertAlign w:val="superscript"/>
                <w:lang w:val="de-DE" w:eastAsia="ja-JP"/>
              </w:rPr>
              <w:t>1</w:t>
            </w:r>
            <w:r w:rsidR="0011167C">
              <w:rPr>
                <w:rFonts w:cstheme="minorHAnsi"/>
                <w:bCs/>
                <w:lang w:val="de-DE" w:eastAsia="ja-JP"/>
              </w:rPr>
              <w:t xml:space="preserve"> (</w:t>
            </w:r>
            <w:hyperlink r:id="rId12" w:history="1">
              <w:r w:rsidR="0011167C" w:rsidRPr="0077530C">
                <w:rPr>
                  <w:rStyle w:val="Hyperlink"/>
                  <w:rFonts w:cstheme="minorHAnsi"/>
                  <w:bCs/>
                  <w:lang w:val="de-DE" w:eastAsia="ja-JP"/>
                </w:rPr>
                <w:t>bérangère.cordier@andra.fr</w:t>
              </w:r>
            </w:hyperlink>
            <w:r w:rsidR="0011167C">
              <w:rPr>
                <w:rFonts w:cstheme="minorHAnsi"/>
                <w:bCs/>
                <w:lang w:val="de-DE" w:eastAsia="ja-JP"/>
              </w:rPr>
              <w:t xml:space="preserve">) </w:t>
            </w:r>
            <w:r w:rsidRPr="00F04098">
              <w:rPr>
                <w:rFonts w:cstheme="minorHAnsi"/>
                <w:bCs/>
                <w:lang w:val="de-DE" w:eastAsia="ja-JP"/>
              </w:rPr>
              <w:t>,S.Voinis</w:t>
            </w:r>
            <w:r w:rsidR="0011167C" w:rsidRPr="0011167C">
              <w:rPr>
                <w:rFonts w:cstheme="minorHAnsi"/>
                <w:bCs/>
                <w:vertAlign w:val="superscript"/>
                <w:lang w:val="de-DE" w:eastAsia="ja-JP"/>
              </w:rPr>
              <w:t>1</w:t>
            </w:r>
            <w:r w:rsidR="0011167C">
              <w:rPr>
                <w:rFonts w:cstheme="minorHAnsi"/>
                <w:bCs/>
                <w:lang w:val="de-DE" w:eastAsia="ja-JP"/>
              </w:rPr>
              <w:t xml:space="preserve"> (</w:t>
            </w:r>
            <w:hyperlink r:id="rId13" w:history="1">
              <w:r w:rsidR="0011167C" w:rsidRPr="0077530C">
                <w:rPr>
                  <w:rStyle w:val="Hyperlink"/>
                  <w:rFonts w:cstheme="minorHAnsi"/>
                  <w:bCs/>
                  <w:lang w:val="de-DE" w:eastAsia="ja-JP"/>
                </w:rPr>
                <w:t>sylvie.voinis@andra.fr</w:t>
              </w:r>
            </w:hyperlink>
            <w:r w:rsidR="0011167C">
              <w:rPr>
                <w:rFonts w:cstheme="minorHAnsi"/>
                <w:bCs/>
                <w:lang w:val="de-DE" w:eastAsia="ja-JP"/>
              </w:rPr>
              <w:t xml:space="preserve"> )</w:t>
            </w:r>
            <w:r w:rsidRPr="00F04098">
              <w:rPr>
                <w:rFonts w:cstheme="minorHAnsi"/>
                <w:bCs/>
                <w:lang w:val="de-DE" w:eastAsia="ja-JP"/>
              </w:rPr>
              <w:t xml:space="preserve"> </w:t>
            </w:r>
          </w:p>
          <w:p w14:paraId="286DEADE" w14:textId="07141697" w:rsidR="00AF3942" w:rsidRPr="0051751D" w:rsidRDefault="0011167C" w:rsidP="001B1D75">
            <w:pPr>
              <w:spacing w:before="60" w:after="60"/>
              <w:ind w:right="-187"/>
              <w:rPr>
                <w:rFonts w:cstheme="minorHAnsi"/>
                <w:b/>
                <w:lang w:val="de-DE" w:eastAsia="ja-JP"/>
              </w:rPr>
            </w:pPr>
            <w:r>
              <w:rPr>
                <w:rFonts w:cstheme="minorHAnsi"/>
                <w:b/>
                <w:lang w:val="de-DE" w:eastAsia="ja-JP"/>
              </w:rPr>
              <w:t>1. Andra, France</w:t>
            </w:r>
          </w:p>
        </w:tc>
      </w:tr>
      <w:tr w:rsidR="00ED483F" w:rsidRPr="00AF3942" w14:paraId="3A0B6CB2" w14:textId="77777777" w:rsidTr="14FD9B09">
        <w:trPr>
          <w:trHeight w:val="952"/>
        </w:trPr>
        <w:tc>
          <w:tcPr>
            <w:tcW w:w="9209" w:type="dxa"/>
            <w:gridSpan w:val="2"/>
          </w:tcPr>
          <w:p w14:paraId="49E5354D" w14:textId="77777777" w:rsidR="009249FD"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5C1916FB" w14:textId="3CEC23EE" w:rsidR="00C60BC5" w:rsidRPr="00F04098" w:rsidRDefault="00F04098" w:rsidP="00C60BC5">
            <w:pPr>
              <w:spacing w:before="60" w:after="60"/>
              <w:ind w:right="-187"/>
              <w:rPr>
                <w:rFonts w:cstheme="minorHAnsi"/>
                <w:bCs/>
              </w:rPr>
            </w:pPr>
            <w:r w:rsidRPr="00F04098">
              <w:rPr>
                <w:rFonts w:cstheme="minorHAnsi"/>
                <w:bCs/>
              </w:rPr>
              <w:t xml:space="preserve">Questions raised by the management of </w:t>
            </w:r>
            <w:r>
              <w:rPr>
                <w:rFonts w:cstheme="minorHAnsi"/>
                <w:bCs/>
              </w:rPr>
              <w:t>“in-between waste</w:t>
            </w:r>
            <w:r w:rsidR="003B5CEA">
              <w:rPr>
                <w:rFonts w:cstheme="minorHAnsi"/>
                <w:bCs/>
              </w:rPr>
              <w:t>”:</w:t>
            </w:r>
            <w:r>
              <w:rPr>
                <w:rFonts w:cstheme="minorHAnsi"/>
                <w:bCs/>
              </w:rPr>
              <w:t xml:space="preserve"> </w:t>
            </w:r>
            <w:r w:rsidRPr="00F04098">
              <w:rPr>
                <w:rFonts w:cstheme="minorHAnsi"/>
                <w:bCs/>
              </w:rPr>
              <w:t xml:space="preserve"> </w:t>
            </w:r>
            <w:r>
              <w:rPr>
                <w:rFonts w:cstheme="minorHAnsi"/>
                <w:bCs/>
              </w:rPr>
              <w:t xml:space="preserve">challenging issues in </w:t>
            </w:r>
            <w:r w:rsidRPr="00F04098">
              <w:rPr>
                <w:rFonts w:cstheme="minorHAnsi"/>
                <w:bCs/>
              </w:rPr>
              <w:t xml:space="preserve">application of the graded approach in </w:t>
            </w:r>
            <w:proofErr w:type="gramStart"/>
            <w:r w:rsidRPr="00F04098">
              <w:rPr>
                <w:rFonts w:cstheme="minorHAnsi"/>
                <w:bCs/>
              </w:rPr>
              <w:t>France</w:t>
            </w:r>
            <w:proofErr w:type="gramEnd"/>
          </w:p>
          <w:p w14:paraId="49937C11" w14:textId="77777777" w:rsidR="00C60BC5" w:rsidRPr="00AF3942" w:rsidRDefault="00C60BC5" w:rsidP="00C60BC5">
            <w:pPr>
              <w:spacing w:before="60" w:after="60"/>
              <w:ind w:right="-187"/>
              <w:rPr>
                <w:rFonts w:cstheme="minorHAnsi"/>
                <w:b/>
              </w:rPr>
            </w:pPr>
          </w:p>
        </w:tc>
      </w:tr>
      <w:tr w:rsidR="00285532" w:rsidRPr="00AF3942" w14:paraId="634A57D2" w14:textId="77777777" w:rsidTr="14FD9B09">
        <w:trPr>
          <w:trHeight w:val="2950"/>
        </w:trPr>
        <w:tc>
          <w:tcPr>
            <w:tcW w:w="9209" w:type="dxa"/>
            <w:gridSpan w:val="2"/>
            <w:tcBorders>
              <w:bottom w:val="single" w:sz="4" w:space="0" w:color="auto"/>
            </w:tcBorders>
          </w:tcPr>
          <w:p w14:paraId="6355BE4E" w14:textId="77777777" w:rsidR="00285532" w:rsidRDefault="00AF3942" w:rsidP="00C60BC5">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241DC3FD" w14:textId="160CD459" w:rsidR="000D6EB7" w:rsidRPr="00CB38B3" w:rsidRDefault="000D6EB7" w:rsidP="000D6EB7">
            <w:pPr>
              <w:pStyle w:val="BodyText"/>
              <w:rPr>
                <w:rFonts w:ascii="Times New Roman" w:hAnsi="Times New Roman"/>
                <w:color w:val="222222"/>
                <w:sz w:val="22"/>
                <w:szCs w:val="22"/>
                <w:lang w:val="en"/>
              </w:rPr>
            </w:pPr>
            <w:r w:rsidRPr="00601654">
              <w:rPr>
                <w:rFonts w:ascii="Times New Roman" w:hAnsi="Times New Roman"/>
                <w:color w:val="222222"/>
                <w:sz w:val="22"/>
                <w:szCs w:val="22"/>
                <w:lang w:val="en"/>
              </w:rPr>
              <w:t>Andra is operating near-surface facilities at the industrial scale in France to dispose of very low level and low level and short-lived wastes. Otherwise</w:t>
            </w:r>
            <w:r>
              <w:rPr>
                <w:rFonts w:ascii="Times New Roman" w:hAnsi="Times New Roman"/>
                <w:color w:val="222222"/>
                <w:sz w:val="22"/>
                <w:szCs w:val="22"/>
                <w:lang w:val="en"/>
              </w:rPr>
              <w:t>,</w:t>
            </w:r>
            <w:r w:rsidRPr="00601654">
              <w:rPr>
                <w:rFonts w:ascii="Times New Roman" w:hAnsi="Times New Roman"/>
                <w:color w:val="222222"/>
                <w:sz w:val="22"/>
                <w:szCs w:val="22"/>
                <w:lang w:val="en"/>
              </w:rPr>
              <w:t xml:space="preserve"> Andra’s deep geological Cigéo project is under preparation to dispose of long-lived ILW and HLW, a large part of them resulting from spent fuel reprocessing. In between those wastes that can be accommodated by near-surface existing facilities </w:t>
            </w:r>
            <w:r w:rsidRPr="00CB38B3">
              <w:rPr>
                <w:rFonts w:ascii="Times New Roman" w:hAnsi="Times New Roman"/>
                <w:color w:val="222222"/>
                <w:sz w:val="22"/>
                <w:szCs w:val="22"/>
                <w:lang w:val="en"/>
              </w:rPr>
              <w:t xml:space="preserve">with respect to safety and those wastes which require the high degree of isolation and containment provided by deep geological disposal, a wide range of wastes will have to be managed in appropriate disposal facilities to be developed. Some are legacy while others will be generated in the future. </w:t>
            </w:r>
          </w:p>
          <w:p w14:paraId="2809651E" w14:textId="514A55D8" w:rsidR="004674D1" w:rsidRPr="00CB38B3" w:rsidRDefault="004674D1" w:rsidP="000D6EB7">
            <w:pPr>
              <w:pStyle w:val="BodyText"/>
              <w:rPr>
                <w:sz w:val="22"/>
                <w:szCs w:val="22"/>
                <w:lang w:val="en-GB"/>
              </w:rPr>
            </w:pPr>
            <w:r w:rsidRPr="00CB38B3">
              <w:rPr>
                <w:rFonts w:ascii="Times New Roman" w:hAnsi="Times New Roman"/>
                <w:sz w:val="22"/>
                <w:szCs w:val="22"/>
                <w:lang w:val="en-US"/>
              </w:rPr>
              <w:t xml:space="preserve">Andra is </w:t>
            </w:r>
            <w:r w:rsidR="000D6EB7" w:rsidRPr="00CB38B3">
              <w:rPr>
                <w:rFonts w:ascii="Times New Roman" w:hAnsi="Times New Roman"/>
                <w:sz w:val="22"/>
                <w:szCs w:val="22"/>
                <w:lang w:val="en-US"/>
              </w:rPr>
              <w:t xml:space="preserve">so </w:t>
            </w:r>
            <w:r w:rsidRPr="00CB38B3">
              <w:rPr>
                <w:rFonts w:ascii="Times New Roman" w:hAnsi="Times New Roman"/>
                <w:sz w:val="22"/>
                <w:szCs w:val="22"/>
                <w:lang w:val="en-GB"/>
              </w:rPr>
              <w:t xml:space="preserve">still facing the disposal of specific waste types, e.g., the so-called “in-between” </w:t>
            </w:r>
            <w:r w:rsidRPr="00CB38B3">
              <w:rPr>
                <w:rFonts w:ascii="Times New Roman" w:hAnsi="Times New Roman"/>
                <w:sz w:val="22"/>
                <w:szCs w:val="22"/>
                <w:lang w:val="en-US"/>
              </w:rPr>
              <w:t xml:space="preserve">Low-level long-lived waste (LLW-LL) </w:t>
            </w:r>
            <w:r w:rsidRPr="00CB38B3">
              <w:rPr>
                <w:rFonts w:ascii="Times New Roman" w:hAnsi="Times New Roman"/>
                <w:sz w:val="22"/>
                <w:szCs w:val="22"/>
                <w:lang w:val="en-GB"/>
              </w:rPr>
              <w:t xml:space="preserve">wastes including: </w:t>
            </w:r>
            <w:r w:rsidR="00697B02" w:rsidRPr="00CB38B3">
              <w:rPr>
                <w:rFonts w:ascii="Times New Roman" w:hAnsi="Times New Roman"/>
                <w:sz w:val="22"/>
                <w:szCs w:val="22"/>
                <w:lang w:val="en-US"/>
              </w:rPr>
              <w:t>g</w:t>
            </w:r>
            <w:proofErr w:type="spellStart"/>
            <w:r w:rsidRPr="00CB38B3">
              <w:rPr>
                <w:rFonts w:ascii="Times New Roman" w:hAnsi="Times New Roman"/>
                <w:sz w:val="22"/>
                <w:szCs w:val="22"/>
                <w:lang w:val="en-GB"/>
              </w:rPr>
              <w:t>raphite</w:t>
            </w:r>
            <w:proofErr w:type="spellEnd"/>
            <w:r w:rsidRPr="00CB38B3">
              <w:rPr>
                <w:rFonts w:ascii="Times New Roman" w:hAnsi="Times New Roman"/>
                <w:sz w:val="22"/>
                <w:szCs w:val="22"/>
                <w:lang w:val="en-GB"/>
              </w:rPr>
              <w:t xml:space="preserve"> waste ;</w:t>
            </w:r>
            <w:r w:rsidRPr="00CB38B3">
              <w:rPr>
                <w:rFonts w:ascii="Times New Roman" w:hAnsi="Times New Roman"/>
                <w:sz w:val="22"/>
                <w:szCs w:val="22"/>
                <w:lang w:val="en-US"/>
              </w:rPr>
              <w:t xml:space="preserve">  </w:t>
            </w:r>
            <w:r w:rsidR="00697B02" w:rsidRPr="00CB38B3">
              <w:rPr>
                <w:rFonts w:ascii="Times New Roman" w:hAnsi="Times New Roman"/>
                <w:sz w:val="22"/>
                <w:szCs w:val="22"/>
                <w:lang w:val="en-US"/>
              </w:rPr>
              <w:t>r</w:t>
            </w:r>
            <w:proofErr w:type="spellStart"/>
            <w:r w:rsidRPr="00CB38B3">
              <w:rPr>
                <w:rFonts w:ascii="Times New Roman" w:hAnsi="Times New Roman"/>
                <w:sz w:val="22"/>
                <w:szCs w:val="22"/>
                <w:lang w:val="en-GB"/>
              </w:rPr>
              <w:t>adium</w:t>
            </w:r>
            <w:proofErr w:type="spellEnd"/>
            <w:r w:rsidRPr="00CB38B3">
              <w:rPr>
                <w:rFonts w:ascii="Times New Roman" w:hAnsi="Times New Roman"/>
                <w:sz w:val="22"/>
                <w:szCs w:val="22"/>
                <w:lang w:val="en-GB"/>
              </w:rPr>
              <w:t xml:space="preserve"> bearing waste from the nuclear industry and wastes generated from non-nuclear activities (T-NORM) ;</w:t>
            </w:r>
            <w:r w:rsidRPr="00CB38B3">
              <w:rPr>
                <w:rFonts w:ascii="Times New Roman" w:hAnsi="Times New Roman"/>
                <w:sz w:val="22"/>
                <w:szCs w:val="22"/>
                <w:lang w:val="en-US"/>
              </w:rPr>
              <w:t xml:space="preserve"> </w:t>
            </w:r>
            <w:r w:rsidRPr="00CB38B3">
              <w:rPr>
                <w:rFonts w:ascii="Times New Roman" w:hAnsi="Times New Roman"/>
                <w:sz w:val="22"/>
                <w:szCs w:val="22"/>
                <w:lang w:val="en-GB"/>
              </w:rPr>
              <w:t>RW from nuclear industrial processes ;</w:t>
            </w:r>
            <w:r w:rsidRPr="00CB38B3">
              <w:rPr>
                <w:rFonts w:ascii="Times New Roman" w:hAnsi="Times New Roman"/>
                <w:sz w:val="22"/>
                <w:szCs w:val="22"/>
                <w:lang w:val="en-US"/>
              </w:rPr>
              <w:t xml:space="preserve"> </w:t>
            </w:r>
            <w:r w:rsidRPr="00CB38B3">
              <w:rPr>
                <w:rFonts w:ascii="Times New Roman" w:hAnsi="Times New Roman"/>
                <w:sz w:val="22"/>
                <w:szCs w:val="22"/>
                <w:lang w:val="en-GB"/>
              </w:rPr>
              <w:t>Uranium bearing waste, especially the waste generated by the conversion of uranium prior to its enrichment ;</w:t>
            </w:r>
            <w:r w:rsidRPr="00CB38B3">
              <w:rPr>
                <w:rFonts w:ascii="Times New Roman" w:hAnsi="Times New Roman"/>
                <w:sz w:val="22"/>
                <w:szCs w:val="22"/>
                <w:lang w:val="en-US"/>
              </w:rPr>
              <w:t xml:space="preserve"> </w:t>
            </w:r>
            <w:r w:rsidR="00697B02" w:rsidRPr="00CB38B3">
              <w:rPr>
                <w:rFonts w:ascii="Times New Roman" w:hAnsi="Times New Roman"/>
                <w:sz w:val="22"/>
                <w:szCs w:val="22"/>
                <w:lang w:val="en-US"/>
              </w:rPr>
              <w:t>d</w:t>
            </w:r>
            <w:proofErr w:type="spellStart"/>
            <w:r w:rsidRPr="00CB38B3">
              <w:rPr>
                <w:rFonts w:ascii="Times New Roman" w:hAnsi="Times New Roman"/>
                <w:sz w:val="22"/>
                <w:szCs w:val="22"/>
                <w:lang w:val="en-GB"/>
              </w:rPr>
              <w:t>epleted</w:t>
            </w:r>
            <w:proofErr w:type="spellEnd"/>
            <w:r w:rsidRPr="00CB38B3">
              <w:rPr>
                <w:rFonts w:ascii="Times New Roman" w:hAnsi="Times New Roman"/>
                <w:sz w:val="22"/>
                <w:szCs w:val="22"/>
                <w:lang w:val="en-GB"/>
              </w:rPr>
              <w:t xml:space="preserve"> uranium that is not considered as a resource ;</w:t>
            </w:r>
            <w:r w:rsidRPr="00CB38B3">
              <w:rPr>
                <w:rFonts w:ascii="Times New Roman" w:hAnsi="Times New Roman"/>
                <w:sz w:val="22"/>
                <w:szCs w:val="22"/>
                <w:lang w:val="en-US"/>
              </w:rPr>
              <w:t xml:space="preserve"> </w:t>
            </w:r>
            <w:r w:rsidRPr="00CB38B3">
              <w:rPr>
                <w:rFonts w:ascii="Times New Roman" w:hAnsi="Times New Roman"/>
                <w:sz w:val="22"/>
                <w:szCs w:val="22"/>
                <w:lang w:val="en-GB"/>
              </w:rPr>
              <w:t xml:space="preserve"> </w:t>
            </w:r>
            <w:r w:rsidR="00697B02" w:rsidRPr="00CB38B3">
              <w:rPr>
                <w:rFonts w:ascii="Times New Roman" w:hAnsi="Times New Roman"/>
                <w:sz w:val="22"/>
                <w:szCs w:val="22"/>
                <w:lang w:val="en-US"/>
              </w:rPr>
              <w:t>d</w:t>
            </w:r>
            <w:proofErr w:type="spellStart"/>
            <w:r w:rsidRPr="00CB38B3">
              <w:rPr>
                <w:rFonts w:ascii="Times New Roman" w:hAnsi="Times New Roman"/>
                <w:sz w:val="22"/>
                <w:szCs w:val="22"/>
                <w:lang w:val="en-GB"/>
              </w:rPr>
              <w:t>isused</w:t>
            </w:r>
            <w:proofErr w:type="spellEnd"/>
            <w:r w:rsidRPr="00CB38B3">
              <w:rPr>
                <w:rFonts w:ascii="Times New Roman" w:hAnsi="Times New Roman"/>
                <w:sz w:val="22"/>
                <w:szCs w:val="22"/>
                <w:lang w:val="en-GB"/>
              </w:rPr>
              <w:t xml:space="preserve"> radioactive sources</w:t>
            </w:r>
            <w:r w:rsidRPr="00CB38B3">
              <w:rPr>
                <w:sz w:val="22"/>
                <w:szCs w:val="22"/>
                <w:lang w:val="en-GB"/>
              </w:rPr>
              <w:t>.</w:t>
            </w:r>
          </w:p>
          <w:p w14:paraId="3552355B" w14:textId="77777777" w:rsidR="003B1F4D" w:rsidRPr="000D6EB7" w:rsidRDefault="004674D1" w:rsidP="000D6EB7">
            <w:pPr>
              <w:pStyle w:val="BodyText"/>
              <w:rPr>
                <w:rFonts w:ascii="Times New Roman" w:hAnsi="Times New Roman"/>
                <w:color w:val="222222"/>
                <w:sz w:val="22"/>
                <w:szCs w:val="22"/>
                <w:lang w:val="en"/>
              </w:rPr>
            </w:pPr>
            <w:r w:rsidRPr="00CB38B3">
              <w:rPr>
                <w:rFonts w:ascii="Times New Roman" w:hAnsi="Times New Roman"/>
                <w:color w:val="222222"/>
                <w:sz w:val="22"/>
                <w:szCs w:val="22"/>
                <w:lang w:val="en"/>
              </w:rPr>
              <w:t>Due to its origins, this category of “in between” waste is intrinsically heterogeneous and its activity changes over long-time raises</w:t>
            </w:r>
            <w:r w:rsidRPr="000D6EB7">
              <w:rPr>
                <w:rFonts w:ascii="Times New Roman" w:hAnsi="Times New Roman"/>
                <w:color w:val="222222"/>
                <w:sz w:val="22"/>
                <w:szCs w:val="22"/>
                <w:lang w:val="en"/>
              </w:rPr>
              <w:t xml:space="preserve"> questions about the confinement and the duration of isolation that a disposal facility must provide. The experience feedback from studies and research conducted to identify the management solutions for LLW-LL waste has highlighted the difficulties in characterising the hazardousness of LLW-LL. This leads to the matter of what these waste types have in common, especially for establishing a single set of disposal management principles.</w:t>
            </w:r>
          </w:p>
          <w:p w14:paraId="45E71214" w14:textId="44FE61FD" w:rsidR="009D59A1" w:rsidRDefault="009D59A1" w:rsidP="000D6EB7">
            <w:pPr>
              <w:pStyle w:val="BodyText"/>
              <w:rPr>
                <w:rFonts w:ascii="Times New Roman" w:hAnsi="Times New Roman"/>
                <w:color w:val="222222"/>
                <w:sz w:val="22"/>
                <w:szCs w:val="22"/>
                <w:lang w:val="en"/>
              </w:rPr>
            </w:pPr>
            <w:r w:rsidRPr="00593DCB">
              <w:rPr>
                <w:rFonts w:ascii="Times New Roman" w:hAnsi="Times New Roman"/>
                <w:color w:val="222222"/>
                <w:sz w:val="22"/>
                <w:szCs w:val="22"/>
                <w:lang w:val="en"/>
              </w:rPr>
              <w:t>Considering the diversity of waste for a proper management, the management solution strategy developed by Andra aims to collectively build and share a global vision of management strategies, both those that already exist and those to be developed.</w:t>
            </w:r>
            <w:r>
              <w:rPr>
                <w:rFonts w:ascii="Times New Roman" w:hAnsi="Times New Roman"/>
                <w:color w:val="222222"/>
                <w:sz w:val="22"/>
                <w:szCs w:val="22"/>
                <w:lang w:val="en"/>
              </w:rPr>
              <w:t xml:space="preserve"> </w:t>
            </w:r>
            <w:r w:rsidRPr="0075778F">
              <w:rPr>
                <w:rFonts w:ascii="Times New Roman" w:hAnsi="Times New Roman"/>
                <w:color w:val="222222"/>
                <w:sz w:val="22"/>
                <w:szCs w:val="22"/>
                <w:lang w:val="en"/>
              </w:rPr>
              <w:t xml:space="preserve">This global vision should make it possible to find a technical and economic optimization of the distribution of the different categories of waste in the different types of repositories, </w:t>
            </w:r>
            <w:proofErr w:type="gramStart"/>
            <w:r w:rsidRPr="0075778F">
              <w:rPr>
                <w:rFonts w:ascii="Times New Roman" w:hAnsi="Times New Roman"/>
                <w:color w:val="222222"/>
                <w:sz w:val="22"/>
                <w:szCs w:val="22"/>
                <w:lang w:val="en"/>
              </w:rPr>
              <w:t>taking into account</w:t>
            </w:r>
            <w:proofErr w:type="gramEnd"/>
            <w:r w:rsidRPr="0075778F">
              <w:rPr>
                <w:rFonts w:ascii="Times New Roman" w:hAnsi="Times New Roman"/>
                <w:color w:val="222222"/>
                <w:sz w:val="22"/>
                <w:szCs w:val="22"/>
                <w:lang w:val="en"/>
              </w:rPr>
              <w:t xml:space="preserve"> the waste production schedule and the best available technologies.</w:t>
            </w:r>
          </w:p>
          <w:p w14:paraId="6271468D" w14:textId="267A8903" w:rsidR="000D6EB7" w:rsidRPr="000D6EB7" w:rsidRDefault="000D6EB7" w:rsidP="000D6EB7">
            <w:pPr>
              <w:pStyle w:val="BodyText"/>
              <w:rPr>
                <w:rFonts w:ascii="Times New Roman" w:hAnsi="Times New Roman"/>
                <w:color w:val="222222"/>
                <w:sz w:val="22"/>
                <w:szCs w:val="22"/>
                <w:lang w:val="en"/>
              </w:rPr>
            </w:pPr>
            <w:r w:rsidRPr="000D6EB7">
              <w:rPr>
                <w:rFonts w:ascii="Times New Roman" w:hAnsi="Times New Roman"/>
                <w:color w:val="222222"/>
                <w:sz w:val="22"/>
                <w:szCs w:val="22"/>
                <w:lang w:val="en"/>
              </w:rPr>
              <w:t>Taking into consideration the graded approach, Andra is studying shallow disposal for LL-LL waste as it provides a suitable protection and allows a significantly simpler and less costly implementation than deep geological disposal. Nevertheless, nearer to the surface, geodynamic uncertainties increase in the next 10,000 years.  Situations without containment are likely to intervene in the long term and protection against Inadvertent Human Intrusion is also limited.</w:t>
            </w:r>
          </w:p>
          <w:p w14:paraId="7BB4D488" w14:textId="6A78CD88" w:rsidR="00697B02" w:rsidRPr="0097577D" w:rsidRDefault="000D6EB7" w:rsidP="00154EAE">
            <w:pPr>
              <w:pStyle w:val="BodyText"/>
              <w:rPr>
                <w:rFonts w:cstheme="minorHAnsi"/>
                <w:lang w:val="en-US" w:eastAsia="ja-JP"/>
              </w:rPr>
            </w:pPr>
            <w:r w:rsidRPr="000D6EB7">
              <w:rPr>
                <w:rFonts w:ascii="Times New Roman" w:hAnsi="Times New Roman"/>
                <w:color w:val="222222"/>
                <w:sz w:val="22"/>
                <w:szCs w:val="22"/>
                <w:lang w:val="en"/>
              </w:rPr>
              <w:t xml:space="preserve">The paper and oral presentation will present the nature of “in between waste”, the </w:t>
            </w:r>
            <w:r w:rsidR="009D59A1" w:rsidRPr="00593DCB">
              <w:rPr>
                <w:rFonts w:ascii="Times New Roman" w:hAnsi="Times New Roman"/>
                <w:color w:val="222222"/>
                <w:sz w:val="22"/>
                <w:szCs w:val="22"/>
                <w:lang w:val="en"/>
              </w:rPr>
              <w:t>management solution strategy developed by Andra</w:t>
            </w:r>
            <w:r w:rsidR="009D59A1" w:rsidRPr="000D6EB7">
              <w:rPr>
                <w:rFonts w:ascii="Times New Roman" w:hAnsi="Times New Roman"/>
                <w:color w:val="222222"/>
                <w:sz w:val="22"/>
                <w:szCs w:val="22"/>
                <w:lang w:val="en"/>
              </w:rPr>
              <w:t xml:space="preserve"> </w:t>
            </w:r>
            <w:r w:rsidR="009D59A1">
              <w:rPr>
                <w:rFonts w:ascii="Times New Roman" w:hAnsi="Times New Roman"/>
                <w:color w:val="222222"/>
                <w:sz w:val="22"/>
                <w:szCs w:val="22"/>
                <w:lang w:val="en"/>
              </w:rPr>
              <w:t xml:space="preserve">and the “strategy roadmap” and challenging issues in application of the graded approach. </w:t>
            </w:r>
          </w:p>
        </w:tc>
      </w:tr>
    </w:tbl>
    <w:p w14:paraId="5C25AB90" w14:textId="77777777" w:rsidR="00ED483F" w:rsidRPr="00AF3942" w:rsidRDefault="00ED483F" w:rsidP="00C60BC5">
      <w:pPr>
        <w:spacing w:after="0" w:line="240" w:lineRule="auto"/>
        <w:ind w:right="-188"/>
        <w:rPr>
          <w:rFonts w:cstheme="minorHAnsi"/>
          <w:b/>
          <w:lang w:eastAsia="ja-JP"/>
        </w:rPr>
      </w:pPr>
    </w:p>
    <w:sectPr w:rsidR="00ED483F" w:rsidRPr="00AF3942" w:rsidSect="00FE33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C3F2F" w14:textId="77777777" w:rsidR="00690EF6" w:rsidRDefault="00690EF6" w:rsidP="00AF3942">
      <w:pPr>
        <w:spacing w:after="0" w:line="240" w:lineRule="auto"/>
      </w:pPr>
      <w:r>
        <w:separator/>
      </w:r>
    </w:p>
  </w:endnote>
  <w:endnote w:type="continuationSeparator" w:id="0">
    <w:p w14:paraId="282088C9" w14:textId="77777777" w:rsidR="00690EF6" w:rsidRDefault="00690EF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6809A" w14:textId="77777777" w:rsidR="00690EF6" w:rsidRDefault="00690EF6" w:rsidP="00AF3942">
      <w:pPr>
        <w:spacing w:after="0" w:line="240" w:lineRule="auto"/>
      </w:pPr>
      <w:r>
        <w:separator/>
      </w:r>
    </w:p>
  </w:footnote>
  <w:footnote w:type="continuationSeparator" w:id="0">
    <w:p w14:paraId="292939DC" w14:textId="77777777" w:rsidR="00690EF6" w:rsidRDefault="00690EF6"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4FC012B"/>
    <w:multiLevelType w:val="hybridMultilevel"/>
    <w:tmpl w:val="00C258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1"/>
  </w:num>
  <w:num w:numId="2" w16cid:durableId="264533111">
    <w:abstractNumId w:val="0"/>
  </w:num>
  <w:num w:numId="3" w16cid:durableId="902835894">
    <w:abstractNumId w:val="3"/>
  </w:num>
  <w:num w:numId="4" w16cid:durableId="1422870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6677"/>
    <w:rsid w:val="00011325"/>
    <w:rsid w:val="00042305"/>
    <w:rsid w:val="0004578C"/>
    <w:rsid w:val="000C2815"/>
    <w:rsid w:val="000D6EB7"/>
    <w:rsid w:val="0011167C"/>
    <w:rsid w:val="001210D2"/>
    <w:rsid w:val="001215B8"/>
    <w:rsid w:val="00154EAE"/>
    <w:rsid w:val="00193E62"/>
    <w:rsid w:val="001B1D75"/>
    <w:rsid w:val="00211CC8"/>
    <w:rsid w:val="0024518F"/>
    <w:rsid w:val="00285532"/>
    <w:rsid w:val="002C48DA"/>
    <w:rsid w:val="003B1F4D"/>
    <w:rsid w:val="003B5CEA"/>
    <w:rsid w:val="003D606A"/>
    <w:rsid w:val="004674D1"/>
    <w:rsid w:val="004B4346"/>
    <w:rsid w:val="004D40A7"/>
    <w:rsid w:val="004F1F1F"/>
    <w:rsid w:val="0051751D"/>
    <w:rsid w:val="005208E7"/>
    <w:rsid w:val="00526970"/>
    <w:rsid w:val="0067177D"/>
    <w:rsid w:val="00690EF6"/>
    <w:rsid w:val="00697B02"/>
    <w:rsid w:val="006C4199"/>
    <w:rsid w:val="006D1BB9"/>
    <w:rsid w:val="0073678F"/>
    <w:rsid w:val="007611CF"/>
    <w:rsid w:val="0077682E"/>
    <w:rsid w:val="008C53E2"/>
    <w:rsid w:val="008F4C9B"/>
    <w:rsid w:val="00914F63"/>
    <w:rsid w:val="009172C9"/>
    <w:rsid w:val="009249FD"/>
    <w:rsid w:val="0097577D"/>
    <w:rsid w:val="009C3C04"/>
    <w:rsid w:val="009D59A1"/>
    <w:rsid w:val="00A21B17"/>
    <w:rsid w:val="00AB24B8"/>
    <w:rsid w:val="00AC0FD9"/>
    <w:rsid w:val="00AD5596"/>
    <w:rsid w:val="00AF3942"/>
    <w:rsid w:val="00B22E8F"/>
    <w:rsid w:val="00B25878"/>
    <w:rsid w:val="00B56776"/>
    <w:rsid w:val="00C60BC5"/>
    <w:rsid w:val="00C82EB8"/>
    <w:rsid w:val="00CB38B3"/>
    <w:rsid w:val="00CC3595"/>
    <w:rsid w:val="00CD5585"/>
    <w:rsid w:val="00D0761D"/>
    <w:rsid w:val="00D269AE"/>
    <w:rsid w:val="00DA03AE"/>
    <w:rsid w:val="00DB6830"/>
    <w:rsid w:val="00E22E27"/>
    <w:rsid w:val="00EA1141"/>
    <w:rsid w:val="00ED483F"/>
    <w:rsid w:val="00EE2F15"/>
    <w:rsid w:val="00F04098"/>
    <w:rsid w:val="00F909FF"/>
    <w:rsid w:val="00F96093"/>
    <w:rsid w:val="00FC105A"/>
    <w:rsid w:val="00FE1761"/>
    <w:rsid w:val="00FE3330"/>
    <w:rsid w:val="14FD9B09"/>
    <w:rsid w:val="44CB120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paragraph" w:styleId="BodyText">
    <w:name w:val="Body Text"/>
    <w:basedOn w:val="Normal"/>
    <w:link w:val="BodyTextChar"/>
    <w:uiPriority w:val="1"/>
    <w:qFormat/>
    <w:rsid w:val="00697B02"/>
    <w:pPr>
      <w:spacing w:before="160" w:after="160" w:line="240" w:lineRule="exact"/>
      <w:jc w:val="both"/>
    </w:pPr>
    <w:rPr>
      <w:rFonts w:ascii="Lucida Sans" w:hAnsi="Lucida Sans" w:cs="Times New Roman"/>
      <w:sz w:val="18"/>
      <w:szCs w:val="18"/>
      <w:lang w:val="fr-FR"/>
    </w:rPr>
  </w:style>
  <w:style w:type="character" w:customStyle="1" w:styleId="BodyTextChar">
    <w:name w:val="Body Text Char"/>
    <w:basedOn w:val="DefaultParagraphFont"/>
    <w:link w:val="BodyText"/>
    <w:uiPriority w:val="1"/>
    <w:rsid w:val="00697B02"/>
    <w:rPr>
      <w:rFonts w:ascii="Lucida Sans" w:hAnsi="Lucida Sans" w:cs="Times New Roman"/>
      <w:sz w:val="18"/>
      <w:szCs w:val="18"/>
      <w:lang w:val="fr-FR"/>
    </w:rPr>
  </w:style>
  <w:style w:type="character" w:styleId="Hyperlink">
    <w:name w:val="Hyperlink"/>
    <w:basedOn w:val="DefaultParagraphFont"/>
    <w:uiPriority w:val="99"/>
    <w:unhideWhenUsed/>
    <w:rsid w:val="0011167C"/>
    <w:rPr>
      <w:color w:val="0000FF" w:themeColor="hyperlink"/>
      <w:u w:val="single"/>
    </w:rPr>
  </w:style>
  <w:style w:type="character" w:styleId="UnresolvedMention">
    <w:name w:val="Unresolved Mention"/>
    <w:basedOn w:val="DefaultParagraphFont"/>
    <w:uiPriority w:val="99"/>
    <w:semiHidden/>
    <w:unhideWhenUsed/>
    <w:rsid w:val="00111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37472">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lvie.voinis@andra.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233;rang&#232;re.cordier@andra.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rginie.wasselin@andra.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4266B-BF89-4744-95BD-9F0F590373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EB2EC9-9B84-42CB-A7EA-5EE25714B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13109C-DD73-41AE-B340-CF0151202A67}">
  <ds:schemaRefs>
    <ds:schemaRef ds:uri="http://schemas.microsoft.com/sharepoint/v3/contenttype/forms"/>
  </ds:schemaRefs>
</ds:datastoreItem>
</file>

<file path=customXml/itemProps4.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540</Words>
  <Characters>3088</Characters>
  <Application>Microsoft Office Word</Application>
  <DocSecurity>0</DocSecurity>
  <Lines>58</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6</cp:revision>
  <dcterms:created xsi:type="dcterms:W3CDTF">2024-04-29T11:51:00Z</dcterms:created>
  <dcterms:modified xsi:type="dcterms:W3CDTF">2024-05-20T11:37:00Z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GrammarlyDocumentId">
    <vt:lpwstr>0a71d73c3c4fafeb7aac1734084cccd96ee656c67470a0f89b6a61ce207e1d4a</vt:lpwstr>
  </property>
</Properties>
</file>