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F3E32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0F21BB77" w14:textId="77777777" w:rsidR="009249FD" w:rsidRDefault="009249FD" w:rsidP="00ED483F">
      <w:pPr>
        <w:spacing w:after="0" w:line="240" w:lineRule="auto"/>
        <w:ind w:right="-188"/>
        <w:jc w:val="center"/>
        <w:rPr>
          <w:rFonts w:asciiTheme="majorHAnsi" w:hAnsiTheme="majorHAnsi"/>
          <w:b/>
        </w:rPr>
      </w:pPr>
    </w:p>
    <w:p w14:paraId="1C2179A8" w14:textId="77777777" w:rsidR="00ED483F" w:rsidRPr="00AF3942" w:rsidRDefault="00ED483F" w:rsidP="00ED483F">
      <w:pPr>
        <w:spacing w:after="0" w:line="240" w:lineRule="auto"/>
        <w:ind w:right="-188"/>
        <w:jc w:val="center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1"/>
        <w:gridCol w:w="4505"/>
      </w:tblGrid>
      <w:tr w:rsidR="00ED483F" w:rsidRPr="00AF3942" w14:paraId="28A97F24" w14:textId="77777777" w:rsidTr="00ED483F">
        <w:tc>
          <w:tcPr>
            <w:tcW w:w="4583" w:type="dxa"/>
          </w:tcPr>
          <w:p w14:paraId="4B44E910" w14:textId="67812E3E" w:rsidR="00ED483F" w:rsidRPr="00AF3942" w:rsidRDefault="00ED483F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  <w:r w:rsidRPr="00AF3942">
              <w:rPr>
                <w:rFonts w:cstheme="minorHAnsi"/>
                <w:b/>
              </w:rPr>
              <w:t>Abstract Number</w:t>
            </w:r>
            <w:r w:rsidR="00AF3942">
              <w:rPr>
                <w:rFonts w:cstheme="minorHAnsi" w:hint="eastAsia"/>
                <w:b/>
                <w:lang w:eastAsia="ja-JP"/>
              </w:rPr>
              <w:t>:</w:t>
            </w:r>
            <w:r w:rsidR="00285532" w:rsidRPr="00AF3942">
              <w:rPr>
                <w:rFonts w:cstheme="minorHAnsi"/>
                <w:b/>
                <w:lang w:eastAsia="ja-JP"/>
              </w:rPr>
              <w:t xml:space="preserve">  </w:t>
            </w:r>
            <w:r w:rsidR="00BE2CC2">
              <w:rPr>
                <w:rFonts w:cstheme="minorHAnsi" w:hint="eastAsia"/>
                <w:b/>
                <w:lang w:eastAsia="zh-CN"/>
              </w:rPr>
              <w:t>52</w:t>
            </w:r>
            <w:r w:rsidRPr="00AF3942">
              <w:rPr>
                <w:rFonts w:cstheme="minorHAnsi"/>
                <w:b/>
              </w:rPr>
              <w:t xml:space="preserve">       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</w:p>
        </w:tc>
        <w:tc>
          <w:tcPr>
            <w:tcW w:w="4583" w:type="dxa"/>
          </w:tcPr>
          <w:p w14:paraId="2DADEC25" w14:textId="0CDB0F15" w:rsidR="00ED483F" w:rsidRPr="00AF3942" w:rsidRDefault="00BE2CC2" w:rsidP="00AF3942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 w:hint="eastAsia"/>
                <w:b/>
                <w:lang w:eastAsia="zh-CN"/>
              </w:rPr>
              <w:t>Session 4.6</w:t>
            </w:r>
            <w:r w:rsidR="00285532" w:rsidRPr="00AF3942">
              <w:rPr>
                <w:rFonts w:cstheme="minorHAnsi"/>
                <w:b/>
                <w:lang w:eastAsia="ja-JP"/>
              </w:rPr>
              <w:t xml:space="preserve">  </w:t>
            </w:r>
          </w:p>
        </w:tc>
      </w:tr>
      <w:tr w:rsidR="00ED483F" w:rsidRPr="00AF3942" w14:paraId="2763047E" w14:textId="77777777" w:rsidTr="00C60BC5">
        <w:trPr>
          <w:trHeight w:val="461"/>
        </w:trPr>
        <w:tc>
          <w:tcPr>
            <w:tcW w:w="9166" w:type="dxa"/>
            <w:gridSpan w:val="2"/>
          </w:tcPr>
          <w:p w14:paraId="2C566678" w14:textId="77777777" w:rsidR="00ED42AD" w:rsidRDefault="00ED483F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</w:rPr>
              <w:t>Author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  <w:r w:rsidR="00394247">
              <w:rPr>
                <w:rFonts w:cstheme="minorHAnsi"/>
                <w:b/>
                <w:lang w:eastAsia="ja-JP"/>
              </w:rPr>
              <w:t xml:space="preserve"> </w:t>
            </w:r>
          </w:p>
          <w:p w14:paraId="27FE090D" w14:textId="77777777" w:rsidR="000A4ADC" w:rsidRDefault="00394247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 xml:space="preserve">Philipp Herold </w:t>
            </w:r>
            <w:r w:rsidR="0087301A">
              <w:rPr>
                <w:rFonts w:cstheme="minorHAnsi"/>
                <w:b/>
                <w:lang w:eastAsia="ja-JP"/>
              </w:rPr>
              <w:t>(</w:t>
            </w:r>
            <w:hyperlink r:id="rId11" w:history="1">
              <w:r w:rsidR="0087301A" w:rsidRPr="005F5603">
                <w:rPr>
                  <w:rStyle w:val="Hyperlink"/>
                  <w:rFonts w:cstheme="minorHAnsi"/>
                  <w:b/>
                  <w:lang w:eastAsia="ja-JP"/>
                </w:rPr>
                <w:t>Philipp.herold@bge.de</w:t>
              </w:r>
            </w:hyperlink>
            <w:r w:rsidR="0087301A">
              <w:rPr>
                <w:rFonts w:cstheme="minorHAnsi"/>
                <w:b/>
                <w:lang w:eastAsia="ja-JP"/>
              </w:rPr>
              <w:t>)</w:t>
            </w:r>
            <w:r w:rsidR="000A4ADC">
              <w:rPr>
                <w:rFonts w:cstheme="minorHAnsi"/>
                <w:b/>
                <w:lang w:eastAsia="ja-JP"/>
              </w:rPr>
              <w:t xml:space="preserve"> – BGE TECHNOLOGY GmbH/Germany</w:t>
            </w:r>
          </w:p>
          <w:p w14:paraId="49F448AF" w14:textId="4E59C150" w:rsidR="000A4ADC" w:rsidRPr="005E4211" w:rsidRDefault="00394247" w:rsidP="00C60BC5">
            <w:pPr>
              <w:spacing w:before="60" w:after="60"/>
              <w:ind w:right="-187"/>
              <w:rPr>
                <w:rStyle w:val="Hyperlink"/>
                <w:rFonts w:cstheme="minorHAnsi"/>
                <w:b/>
                <w:lang w:val="fr-FR" w:eastAsia="ja-JP"/>
              </w:rPr>
            </w:pPr>
            <w:r w:rsidRPr="005E4211">
              <w:rPr>
                <w:rFonts w:cstheme="minorHAnsi"/>
                <w:b/>
                <w:lang w:val="fr-FR" w:eastAsia="ja-JP"/>
              </w:rPr>
              <w:t xml:space="preserve">Manuel Capouet </w:t>
            </w:r>
            <w:r w:rsidR="0087301A" w:rsidRPr="005E4211">
              <w:rPr>
                <w:rFonts w:cstheme="minorHAnsi"/>
                <w:b/>
                <w:lang w:val="fr-FR" w:eastAsia="ja-JP"/>
              </w:rPr>
              <w:t>(</w:t>
            </w:r>
            <w:hyperlink r:id="rId12" w:history="1">
              <w:r w:rsidRPr="005E4211">
                <w:rPr>
                  <w:rStyle w:val="Hyperlink"/>
                  <w:rFonts w:cstheme="minorHAnsi"/>
                  <w:b/>
                  <w:lang w:val="fr-FR" w:eastAsia="ja-JP"/>
                </w:rPr>
                <w:t>M.Capouet@nirond.be</w:t>
              </w:r>
            </w:hyperlink>
            <w:r w:rsidR="0087301A" w:rsidRPr="005E4211">
              <w:rPr>
                <w:rStyle w:val="Hyperlink"/>
                <w:rFonts w:cstheme="minorHAnsi"/>
                <w:b/>
                <w:lang w:val="fr-FR" w:eastAsia="ja-JP"/>
              </w:rPr>
              <w:t>)</w:t>
            </w:r>
            <w:r w:rsidR="000A4ADC" w:rsidRPr="005E4211">
              <w:rPr>
                <w:rStyle w:val="Hyperlink"/>
                <w:rFonts w:cstheme="minorHAnsi"/>
                <w:b/>
                <w:lang w:val="fr-FR" w:eastAsia="ja-JP"/>
              </w:rPr>
              <w:t xml:space="preserve"> – ONDRAF/NIRAS/</w:t>
            </w:r>
            <w:proofErr w:type="spellStart"/>
            <w:r w:rsidR="000A4ADC" w:rsidRPr="005E4211">
              <w:rPr>
                <w:rStyle w:val="Hyperlink"/>
                <w:rFonts w:cstheme="minorHAnsi"/>
                <w:b/>
                <w:lang w:val="fr-FR" w:eastAsia="ja-JP"/>
              </w:rPr>
              <w:t>Belgium</w:t>
            </w:r>
            <w:proofErr w:type="spellEnd"/>
          </w:p>
          <w:p w14:paraId="6BBEDEBC" w14:textId="6459FE04" w:rsidR="000A4ADC" w:rsidRDefault="00394247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87301A">
              <w:rPr>
                <w:rFonts w:cstheme="minorHAnsi"/>
                <w:b/>
                <w:lang w:eastAsia="ja-JP"/>
              </w:rPr>
              <w:t>Peter MOLNAR</w:t>
            </w:r>
            <w:r w:rsidR="0087301A" w:rsidRPr="0087301A">
              <w:rPr>
                <w:rFonts w:cstheme="minorHAnsi"/>
                <w:b/>
                <w:lang w:eastAsia="ja-JP"/>
              </w:rPr>
              <w:t xml:space="preserve"> (</w:t>
            </w:r>
            <w:hyperlink r:id="rId13" w:history="1">
              <w:r w:rsidR="0087301A" w:rsidRPr="005F5603">
                <w:rPr>
                  <w:rStyle w:val="Hyperlink"/>
                  <w:rFonts w:cstheme="minorHAnsi"/>
                  <w:b/>
                  <w:lang w:eastAsia="ja-JP"/>
                </w:rPr>
                <w:t>molnar.peter@rhk.hu</w:t>
              </w:r>
            </w:hyperlink>
            <w:r w:rsidR="0087301A">
              <w:rPr>
                <w:rFonts w:cstheme="minorHAnsi"/>
                <w:b/>
                <w:lang w:eastAsia="ja-JP"/>
              </w:rPr>
              <w:t>)</w:t>
            </w:r>
            <w:r w:rsidR="000A4ADC">
              <w:rPr>
                <w:rFonts w:cstheme="minorHAnsi"/>
                <w:b/>
                <w:lang w:eastAsia="ja-JP"/>
              </w:rPr>
              <w:t xml:space="preserve"> – PURAM/Hungary</w:t>
            </w:r>
          </w:p>
          <w:p w14:paraId="5E741C00" w14:textId="6B72C521" w:rsidR="00AF3942" w:rsidRPr="00AF3942" w:rsidRDefault="00781388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87301A">
              <w:rPr>
                <w:rFonts w:cstheme="minorHAnsi"/>
                <w:b/>
                <w:lang w:eastAsia="ja-JP"/>
              </w:rPr>
              <w:t>M</w:t>
            </w:r>
            <w:r w:rsidR="00394247" w:rsidRPr="0087301A">
              <w:rPr>
                <w:rFonts w:cstheme="minorHAnsi"/>
                <w:b/>
                <w:lang w:eastAsia="ja-JP"/>
              </w:rPr>
              <w:t>iguel CUÑADO</w:t>
            </w:r>
            <w:r w:rsidR="0087301A" w:rsidRPr="0087301A">
              <w:rPr>
                <w:rFonts w:cstheme="minorHAnsi"/>
                <w:b/>
                <w:lang w:eastAsia="ja-JP"/>
              </w:rPr>
              <w:t xml:space="preserve"> (</w:t>
            </w:r>
            <w:hyperlink r:id="rId14" w:history="1">
              <w:r w:rsidR="0087301A" w:rsidRPr="005F5603">
                <w:rPr>
                  <w:rStyle w:val="Hyperlink"/>
                  <w:rFonts w:cstheme="minorHAnsi"/>
                  <w:b/>
                  <w:lang w:eastAsia="ja-JP"/>
                </w:rPr>
                <w:t>mcup@enresa.es</w:t>
              </w:r>
            </w:hyperlink>
            <w:r w:rsidR="0087301A">
              <w:rPr>
                <w:rFonts w:cstheme="minorHAnsi"/>
                <w:b/>
                <w:lang w:eastAsia="ja-JP"/>
              </w:rPr>
              <w:t>)</w:t>
            </w:r>
            <w:r w:rsidR="000A4ADC">
              <w:rPr>
                <w:rFonts w:cstheme="minorHAnsi"/>
                <w:b/>
                <w:lang w:eastAsia="ja-JP"/>
              </w:rPr>
              <w:t xml:space="preserve"> – ENRESA/Spain</w:t>
            </w:r>
          </w:p>
        </w:tc>
      </w:tr>
      <w:tr w:rsidR="00ED483F" w:rsidRPr="00AF3942" w14:paraId="04438CBC" w14:textId="77777777" w:rsidTr="00C60BC5">
        <w:trPr>
          <w:trHeight w:val="952"/>
        </w:trPr>
        <w:tc>
          <w:tcPr>
            <w:tcW w:w="9166" w:type="dxa"/>
            <w:gridSpan w:val="2"/>
          </w:tcPr>
          <w:p w14:paraId="76966F95" w14:textId="3806E64E" w:rsidR="00C60BC5" w:rsidRPr="00AF3942" w:rsidRDefault="00285532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  <w:r w:rsidRPr="00AF3942">
              <w:rPr>
                <w:rFonts w:cstheme="minorHAnsi"/>
                <w:b/>
                <w:lang w:eastAsia="ja-JP"/>
              </w:rPr>
              <w:t xml:space="preserve">Abstract </w:t>
            </w:r>
            <w:r w:rsidR="00ED483F" w:rsidRPr="00AF3942">
              <w:rPr>
                <w:rFonts w:cstheme="minorHAnsi"/>
                <w:b/>
              </w:rPr>
              <w:t>Title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  <w:r w:rsidR="00394247">
              <w:rPr>
                <w:rFonts w:cstheme="minorHAnsi"/>
                <w:b/>
                <w:lang w:eastAsia="ja-JP"/>
              </w:rPr>
              <w:t xml:space="preserve"> Operational Safety and Safety Assessment – Lessons learnt from</w:t>
            </w:r>
            <w:r w:rsidR="00AB0C0E">
              <w:rPr>
                <w:rFonts w:cstheme="minorHAnsi"/>
                <w:b/>
                <w:lang w:eastAsia="ja-JP"/>
              </w:rPr>
              <w:t xml:space="preserve"> the</w:t>
            </w:r>
            <w:r w:rsidR="00394247">
              <w:rPr>
                <w:rFonts w:cstheme="minorHAnsi"/>
                <w:b/>
                <w:lang w:eastAsia="ja-JP"/>
              </w:rPr>
              <w:t xml:space="preserve"> operation of </w:t>
            </w:r>
            <w:r w:rsidR="0087301A">
              <w:rPr>
                <w:rFonts w:cstheme="minorHAnsi"/>
                <w:b/>
                <w:lang w:eastAsia="ja-JP"/>
              </w:rPr>
              <w:t xml:space="preserve">existing </w:t>
            </w:r>
            <w:r w:rsidR="00394247">
              <w:rPr>
                <w:rFonts w:cstheme="minorHAnsi"/>
                <w:b/>
                <w:lang w:eastAsia="ja-JP"/>
              </w:rPr>
              <w:t>facilities</w:t>
            </w:r>
          </w:p>
        </w:tc>
      </w:tr>
      <w:tr w:rsidR="00285532" w:rsidRPr="00AF3942" w14:paraId="321BD677" w14:textId="77777777" w:rsidTr="00006677">
        <w:trPr>
          <w:trHeight w:val="2950"/>
        </w:trPr>
        <w:tc>
          <w:tcPr>
            <w:tcW w:w="9166" w:type="dxa"/>
            <w:gridSpan w:val="2"/>
            <w:tcBorders>
              <w:bottom w:val="single" w:sz="4" w:space="0" w:color="auto"/>
            </w:tcBorders>
          </w:tcPr>
          <w:p w14:paraId="2E7AC776" w14:textId="767A6849" w:rsidR="003349F2" w:rsidRDefault="00AF3942" w:rsidP="005E421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394247">
              <w:rPr>
                <w:rFonts w:cstheme="minorHAnsi"/>
                <w:b/>
                <w:lang w:val="en-US" w:eastAsia="ja-JP"/>
              </w:rPr>
              <w:t>Abstract (300-500 words)</w:t>
            </w:r>
            <w:r w:rsidR="003D606A" w:rsidRPr="00394247">
              <w:rPr>
                <w:rFonts w:cstheme="minorHAnsi"/>
                <w:b/>
                <w:lang w:val="en-US" w:eastAsia="ja-JP"/>
              </w:rPr>
              <w:t>:</w:t>
            </w:r>
            <w:r w:rsidR="00394247" w:rsidRPr="00394247">
              <w:rPr>
                <w:lang w:val="en-US"/>
              </w:rPr>
              <w:t xml:space="preserve"> </w:t>
            </w:r>
            <w:r w:rsidR="00394247" w:rsidRPr="00394247">
              <w:rPr>
                <w:sz w:val="22"/>
                <w:szCs w:val="22"/>
                <w:lang w:val="en-US"/>
              </w:rPr>
              <w:t>The IGSC ad-hoc group on transfer and return of experience</w:t>
            </w:r>
            <w:r w:rsidR="00AB0C0E">
              <w:rPr>
                <w:sz w:val="22"/>
                <w:szCs w:val="22"/>
                <w:lang w:val="en-US"/>
              </w:rPr>
              <w:t xml:space="preserve"> </w:t>
            </w:r>
            <w:r w:rsidR="00AB0C0E" w:rsidRPr="00394247">
              <w:rPr>
                <w:sz w:val="22"/>
                <w:szCs w:val="22"/>
                <w:lang w:val="en-US"/>
              </w:rPr>
              <w:t xml:space="preserve">gained </w:t>
            </w:r>
            <w:r w:rsidR="00394247" w:rsidRPr="00394247">
              <w:rPr>
                <w:sz w:val="22"/>
                <w:szCs w:val="22"/>
                <w:lang w:val="en-US"/>
              </w:rPr>
              <w:t xml:space="preserve">on safety cases for disposal facilities (TARGES) has identified six topics that are relevant to the planned extended mandate of IGSC. Topic 3, specifically, </w:t>
            </w:r>
            <w:r w:rsidR="00394247" w:rsidRPr="00903F1A">
              <w:rPr>
                <w:sz w:val="22"/>
                <w:szCs w:val="22"/>
                <w:lang w:val="en-US"/>
              </w:rPr>
              <w:t>focuses on the experience gained from operating facilities and how this can be transferred to deep geological repositories (DGR)</w:t>
            </w:r>
            <w:r w:rsidR="00394247">
              <w:rPr>
                <w:sz w:val="22"/>
                <w:szCs w:val="22"/>
                <w:lang w:val="en-US"/>
              </w:rPr>
              <w:t>.</w:t>
            </w:r>
            <w:r w:rsidR="00394247" w:rsidRPr="00394247">
              <w:rPr>
                <w:sz w:val="22"/>
                <w:szCs w:val="22"/>
                <w:lang w:val="en-US"/>
              </w:rPr>
              <w:t xml:space="preserve"> To further clarify the objectives of this topic and enhance the interface between IGSC and </w:t>
            </w:r>
            <w:r w:rsidR="00903F1A">
              <w:rPr>
                <w:sz w:val="22"/>
                <w:szCs w:val="22"/>
                <w:lang w:val="en-US"/>
              </w:rPr>
              <w:t>Expert Group on Operational Safety (</w:t>
            </w:r>
            <w:r w:rsidR="00394247" w:rsidRPr="00394247">
              <w:rPr>
                <w:sz w:val="22"/>
                <w:szCs w:val="22"/>
                <w:lang w:val="en-US"/>
              </w:rPr>
              <w:t>EGOS</w:t>
            </w:r>
            <w:r w:rsidR="00903F1A">
              <w:rPr>
                <w:sz w:val="22"/>
                <w:szCs w:val="22"/>
                <w:lang w:val="en-US"/>
              </w:rPr>
              <w:t>)</w:t>
            </w:r>
            <w:r w:rsidR="00394247" w:rsidRPr="00394247">
              <w:rPr>
                <w:sz w:val="22"/>
                <w:szCs w:val="22"/>
                <w:lang w:val="en-US"/>
              </w:rPr>
              <w:t xml:space="preserve">, a </w:t>
            </w:r>
            <w:r w:rsidR="00394247">
              <w:rPr>
                <w:sz w:val="22"/>
                <w:szCs w:val="22"/>
                <w:lang w:val="en-US"/>
              </w:rPr>
              <w:t xml:space="preserve">workshop between both groups was </w:t>
            </w:r>
            <w:r w:rsidR="00AC31F0">
              <w:rPr>
                <w:sz w:val="22"/>
                <w:szCs w:val="22"/>
                <w:lang w:val="en-US"/>
              </w:rPr>
              <w:t xml:space="preserve">held </w:t>
            </w:r>
            <w:r w:rsidR="003349F2">
              <w:rPr>
                <w:sz w:val="22"/>
                <w:szCs w:val="22"/>
                <w:lang w:val="en-US"/>
              </w:rPr>
              <w:t>in October 2023</w:t>
            </w:r>
            <w:r w:rsidR="00394247">
              <w:rPr>
                <w:sz w:val="22"/>
                <w:szCs w:val="22"/>
                <w:lang w:val="en-US"/>
              </w:rPr>
              <w:t xml:space="preserve">. </w:t>
            </w:r>
            <w:r w:rsidR="00394247" w:rsidRPr="00394247">
              <w:rPr>
                <w:sz w:val="22"/>
                <w:szCs w:val="22"/>
                <w:lang w:val="en-US"/>
              </w:rPr>
              <w:t xml:space="preserve">Issues concerning industrial and operational safety and </w:t>
            </w:r>
            <w:r w:rsidR="00AC31F0">
              <w:rPr>
                <w:sz w:val="22"/>
                <w:szCs w:val="22"/>
                <w:lang w:val="en-US"/>
              </w:rPr>
              <w:t xml:space="preserve">the </w:t>
            </w:r>
            <w:r w:rsidR="00394247" w:rsidRPr="00394247">
              <w:rPr>
                <w:sz w:val="22"/>
                <w:szCs w:val="22"/>
                <w:lang w:val="en-US"/>
              </w:rPr>
              <w:t>handling of common technical systems and processes between non-DGR and DGR fa</w:t>
            </w:r>
            <w:r w:rsidR="0087301A">
              <w:rPr>
                <w:sz w:val="22"/>
                <w:szCs w:val="22"/>
                <w:lang w:val="en-US"/>
              </w:rPr>
              <w:t>cilities were</w:t>
            </w:r>
            <w:r w:rsidR="00394247" w:rsidRPr="00394247">
              <w:rPr>
                <w:sz w:val="22"/>
                <w:szCs w:val="22"/>
                <w:lang w:val="en-US"/>
              </w:rPr>
              <w:t xml:space="preserve"> of interest</w:t>
            </w:r>
            <w:r w:rsidR="003349F2">
              <w:rPr>
                <w:sz w:val="22"/>
                <w:szCs w:val="22"/>
                <w:lang w:val="en-US"/>
              </w:rPr>
              <w:t xml:space="preserve"> in the workshop</w:t>
            </w:r>
            <w:r w:rsidR="0087301A">
              <w:rPr>
                <w:sz w:val="22"/>
                <w:szCs w:val="22"/>
                <w:lang w:val="en-US"/>
              </w:rPr>
              <w:t xml:space="preserve">. Thus, IAEA gave an overview </w:t>
            </w:r>
            <w:r w:rsidR="00AC31F0">
              <w:rPr>
                <w:sz w:val="22"/>
                <w:szCs w:val="22"/>
                <w:lang w:val="en-US"/>
              </w:rPr>
              <w:t>of</w:t>
            </w:r>
            <w:r w:rsidR="0087301A">
              <w:rPr>
                <w:sz w:val="22"/>
                <w:szCs w:val="22"/>
                <w:lang w:val="en-US"/>
              </w:rPr>
              <w:t xml:space="preserve"> the knowledge exchange with the DISPONET group</w:t>
            </w:r>
            <w:r w:rsidR="000A4ADC">
              <w:rPr>
                <w:sz w:val="22"/>
                <w:szCs w:val="22"/>
                <w:lang w:val="en-US"/>
              </w:rPr>
              <w:t xml:space="preserve"> (</w:t>
            </w:r>
            <w:r w:rsidR="000A4ADC" w:rsidRPr="000A4ADC">
              <w:rPr>
                <w:sz w:val="22"/>
                <w:szCs w:val="22"/>
                <w:lang w:val="en-US"/>
              </w:rPr>
              <w:t>International Low Level Waste Disposal Network</w:t>
            </w:r>
            <w:r w:rsidR="000A4ADC">
              <w:rPr>
                <w:sz w:val="22"/>
                <w:szCs w:val="22"/>
                <w:lang w:val="en-US"/>
              </w:rPr>
              <w:t>)</w:t>
            </w:r>
            <w:r w:rsidR="00AC31F0">
              <w:rPr>
                <w:sz w:val="22"/>
                <w:szCs w:val="22"/>
                <w:lang w:val="en-US"/>
              </w:rPr>
              <w:t>,</w:t>
            </w:r>
            <w:r w:rsidR="0087301A">
              <w:rPr>
                <w:sz w:val="22"/>
                <w:szCs w:val="22"/>
                <w:lang w:val="en-US"/>
              </w:rPr>
              <w:t xml:space="preserve"> and eight </w:t>
            </w:r>
            <w:r w:rsidR="00AC31F0">
              <w:rPr>
                <w:sz w:val="22"/>
                <w:szCs w:val="22"/>
                <w:lang w:val="en-US"/>
              </w:rPr>
              <w:t xml:space="preserve">speakers </w:t>
            </w:r>
            <w:r w:rsidR="0087301A">
              <w:rPr>
                <w:sz w:val="22"/>
                <w:szCs w:val="22"/>
                <w:lang w:val="en-US"/>
              </w:rPr>
              <w:t>gave a deep insight in</w:t>
            </w:r>
            <w:r w:rsidR="00AC31F0">
              <w:rPr>
                <w:sz w:val="22"/>
                <w:szCs w:val="22"/>
                <w:lang w:val="en-US"/>
              </w:rPr>
              <w:t>to</w:t>
            </w:r>
            <w:r w:rsidR="0087301A">
              <w:rPr>
                <w:sz w:val="22"/>
                <w:szCs w:val="22"/>
                <w:lang w:val="en-US"/>
              </w:rPr>
              <w:t xml:space="preserve"> the experience</w:t>
            </w:r>
            <w:r w:rsidR="00AC31F0">
              <w:rPr>
                <w:sz w:val="22"/>
                <w:szCs w:val="22"/>
                <w:lang w:val="en-US"/>
              </w:rPr>
              <w:t xml:space="preserve"> gained</w:t>
            </w:r>
            <w:r w:rsidR="0087301A">
              <w:rPr>
                <w:sz w:val="22"/>
                <w:szCs w:val="22"/>
                <w:lang w:val="en-US"/>
              </w:rPr>
              <w:t xml:space="preserve"> in their </w:t>
            </w:r>
            <w:r w:rsidR="00AC31F0">
              <w:rPr>
                <w:sz w:val="22"/>
                <w:szCs w:val="22"/>
                <w:lang w:val="en-US"/>
              </w:rPr>
              <w:t>respective</w:t>
            </w:r>
            <w:r w:rsidR="000A4ADC">
              <w:rPr>
                <w:sz w:val="22"/>
                <w:szCs w:val="22"/>
                <w:lang w:val="en-US"/>
              </w:rPr>
              <w:t xml:space="preserve"> national</w:t>
            </w:r>
            <w:r w:rsidR="00AC31F0">
              <w:rPr>
                <w:sz w:val="22"/>
                <w:szCs w:val="22"/>
                <w:lang w:val="en-US"/>
              </w:rPr>
              <w:t xml:space="preserve"> </w:t>
            </w:r>
            <w:r w:rsidR="003349F2">
              <w:rPr>
                <w:sz w:val="22"/>
                <w:szCs w:val="22"/>
                <w:lang w:val="en-US"/>
              </w:rPr>
              <w:t>facilities</w:t>
            </w:r>
            <w:r w:rsidR="0087301A">
              <w:rPr>
                <w:sz w:val="22"/>
                <w:szCs w:val="22"/>
                <w:lang w:val="en-US"/>
              </w:rPr>
              <w:t xml:space="preserve">. The workshop covered </w:t>
            </w:r>
            <w:r w:rsidR="00394247" w:rsidRPr="00394247">
              <w:rPr>
                <w:sz w:val="22"/>
                <w:szCs w:val="22"/>
                <w:lang w:val="en-US"/>
              </w:rPr>
              <w:t>near-surface disposal facilities</w:t>
            </w:r>
            <w:r w:rsidR="00781388">
              <w:rPr>
                <w:sz w:val="22"/>
                <w:szCs w:val="22"/>
                <w:lang w:val="en-US"/>
              </w:rPr>
              <w:t xml:space="preserve">, </w:t>
            </w:r>
            <w:r w:rsidR="00394247" w:rsidRPr="00394247">
              <w:rPr>
                <w:sz w:val="22"/>
                <w:szCs w:val="22"/>
                <w:lang w:val="en-US"/>
              </w:rPr>
              <w:t>underground research laboratories</w:t>
            </w:r>
            <w:r w:rsidR="00781388">
              <w:rPr>
                <w:sz w:val="22"/>
                <w:szCs w:val="22"/>
                <w:lang w:val="en-US"/>
              </w:rPr>
              <w:t xml:space="preserve">, </w:t>
            </w:r>
            <w:r w:rsidR="00394247" w:rsidRPr="00394247">
              <w:rPr>
                <w:sz w:val="22"/>
                <w:szCs w:val="22"/>
                <w:lang w:val="en-US"/>
              </w:rPr>
              <w:t>geological facilities in shallow depth</w:t>
            </w:r>
            <w:r w:rsidR="00AC31F0">
              <w:rPr>
                <w:sz w:val="22"/>
                <w:szCs w:val="22"/>
                <w:lang w:val="en-US"/>
              </w:rPr>
              <w:t>,</w:t>
            </w:r>
            <w:r w:rsidR="00781388">
              <w:rPr>
                <w:sz w:val="22"/>
                <w:szCs w:val="22"/>
                <w:lang w:val="en-US"/>
              </w:rPr>
              <w:t xml:space="preserve"> </w:t>
            </w:r>
            <w:r w:rsidR="003349F2">
              <w:rPr>
                <w:sz w:val="22"/>
                <w:szCs w:val="22"/>
                <w:lang w:val="en-US"/>
              </w:rPr>
              <w:t>and</w:t>
            </w:r>
            <w:r w:rsidR="00781388">
              <w:rPr>
                <w:sz w:val="22"/>
                <w:szCs w:val="22"/>
                <w:lang w:val="en-US"/>
              </w:rPr>
              <w:t xml:space="preserve"> </w:t>
            </w:r>
            <w:r w:rsidR="00394247" w:rsidRPr="00394247">
              <w:rPr>
                <w:sz w:val="22"/>
                <w:szCs w:val="22"/>
                <w:lang w:val="en-US"/>
              </w:rPr>
              <w:t>ex</w:t>
            </w:r>
            <w:r w:rsidR="00781388">
              <w:rPr>
                <w:sz w:val="22"/>
                <w:szCs w:val="22"/>
                <w:lang w:val="en-US"/>
              </w:rPr>
              <w:t>isting</w:t>
            </w:r>
            <w:r w:rsidR="000A4ADC" w:rsidRPr="005E4211">
              <w:rPr>
                <w:lang w:val="en-US"/>
              </w:rPr>
              <w:t xml:space="preserve"> low and intermediate level waste</w:t>
            </w:r>
            <w:r w:rsidR="00781388">
              <w:rPr>
                <w:sz w:val="22"/>
                <w:szCs w:val="22"/>
                <w:lang w:val="en-US"/>
              </w:rPr>
              <w:t xml:space="preserve"> DGR. </w:t>
            </w:r>
          </w:p>
          <w:p w14:paraId="3742D86D" w14:textId="77777777" w:rsidR="003349F2" w:rsidRDefault="003349F2" w:rsidP="005E421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  <w:p w14:paraId="1A75B048" w14:textId="77777777" w:rsidR="00781388" w:rsidRDefault="00781388" w:rsidP="005E421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781388">
              <w:rPr>
                <w:sz w:val="22"/>
                <w:szCs w:val="22"/>
                <w:lang w:val="en-US"/>
              </w:rPr>
              <w:t xml:space="preserve">During the </w:t>
            </w:r>
            <w:r>
              <w:rPr>
                <w:sz w:val="22"/>
                <w:szCs w:val="22"/>
                <w:lang w:val="en-US"/>
              </w:rPr>
              <w:t xml:space="preserve">joint session, the speakers were </w:t>
            </w:r>
            <w:r w:rsidRPr="00781388">
              <w:rPr>
                <w:sz w:val="22"/>
                <w:szCs w:val="22"/>
                <w:lang w:val="en-US"/>
              </w:rPr>
              <w:t xml:space="preserve">encouraged to share their experience in </w:t>
            </w:r>
            <w:r w:rsidR="00AC31F0">
              <w:rPr>
                <w:sz w:val="22"/>
                <w:szCs w:val="22"/>
                <w:lang w:val="en-US"/>
              </w:rPr>
              <w:t xml:space="preserve">the </w:t>
            </w:r>
            <w:r w:rsidRPr="00781388">
              <w:rPr>
                <w:sz w:val="22"/>
                <w:szCs w:val="22"/>
                <w:lang w:val="en-US"/>
              </w:rPr>
              <w:t xml:space="preserve">safe operation of their facilities. Of particular interest </w:t>
            </w:r>
            <w:r w:rsidR="00AC31F0">
              <w:rPr>
                <w:sz w:val="22"/>
                <w:szCs w:val="22"/>
                <w:lang w:val="en-US"/>
              </w:rPr>
              <w:t xml:space="preserve">is </w:t>
            </w:r>
            <w:r w:rsidRPr="00781388">
              <w:rPr>
                <w:sz w:val="22"/>
                <w:szCs w:val="22"/>
                <w:lang w:val="en-US"/>
              </w:rPr>
              <w:t>experience related to incidental or accidental events and the interaction with internal and external safety and rescue infrastructure. While DGR for high-level waste (HLW) are not yet in operation, it is valuable to learn from the experience of operators of long-running facilities and</w:t>
            </w:r>
            <w:r w:rsidR="00AC31F0">
              <w:rPr>
                <w:sz w:val="22"/>
                <w:szCs w:val="22"/>
                <w:lang w:val="en-US"/>
              </w:rPr>
              <w:t xml:space="preserve"> to</w:t>
            </w:r>
            <w:r w:rsidRPr="00781388">
              <w:rPr>
                <w:sz w:val="22"/>
                <w:szCs w:val="22"/>
                <w:lang w:val="en-US"/>
              </w:rPr>
              <w:t xml:space="preserve"> consider the implications of long-term operation on facility design. Relevant ques</w:t>
            </w:r>
            <w:r>
              <w:rPr>
                <w:sz w:val="22"/>
                <w:szCs w:val="22"/>
                <w:lang w:val="en-US"/>
              </w:rPr>
              <w:t>tions for the speakers include e.g.:</w:t>
            </w:r>
          </w:p>
          <w:p w14:paraId="2FF8761A" w14:textId="77777777" w:rsidR="003349F2" w:rsidRDefault="003349F2" w:rsidP="005E421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  <w:p w14:paraId="69D782E8" w14:textId="77777777" w:rsidR="003349F2" w:rsidRDefault="00781388" w:rsidP="005E421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</w:t>
            </w:r>
            <w:r w:rsidRPr="00781388">
              <w:rPr>
                <w:sz w:val="22"/>
                <w:szCs w:val="22"/>
                <w:lang w:val="en-US"/>
              </w:rPr>
              <w:t xml:space="preserve">hat sources/methods were/are used to identify possible accidents/incidents? </w:t>
            </w:r>
          </w:p>
          <w:p w14:paraId="0BC5F8B8" w14:textId="77777777" w:rsidR="003349F2" w:rsidRDefault="00781388" w:rsidP="005E421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How did or </w:t>
            </w:r>
            <w:r w:rsidRPr="00781388">
              <w:rPr>
                <w:sz w:val="22"/>
                <w:szCs w:val="22"/>
                <w:lang w:val="en-US"/>
              </w:rPr>
              <w:t>do you ensure that the planned prevention and mitigation measures for different incidents</w:t>
            </w:r>
            <w:r w:rsidR="003349F2">
              <w:rPr>
                <w:sz w:val="22"/>
                <w:szCs w:val="22"/>
                <w:lang w:val="en-US"/>
              </w:rPr>
              <w:t>/accidents were/are sufficient?</w:t>
            </w:r>
          </w:p>
          <w:p w14:paraId="44E356AD" w14:textId="77777777" w:rsidR="003349F2" w:rsidRDefault="00781388" w:rsidP="005E421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781388">
              <w:rPr>
                <w:sz w:val="22"/>
                <w:szCs w:val="22"/>
                <w:lang w:val="en-US"/>
              </w:rPr>
              <w:t>What optimization measures (e.g. technical innovations/additional prevention/mitigation measures) have been implemented in the design and ope</w:t>
            </w:r>
            <w:r w:rsidR="003349F2">
              <w:rPr>
                <w:sz w:val="22"/>
                <w:szCs w:val="22"/>
                <w:lang w:val="en-US"/>
              </w:rPr>
              <w:t>ration of the facility and how?</w:t>
            </w:r>
          </w:p>
          <w:p w14:paraId="60810EA7" w14:textId="77777777" w:rsidR="003349F2" w:rsidRDefault="00781388" w:rsidP="005E421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781388">
              <w:rPr>
                <w:sz w:val="22"/>
                <w:szCs w:val="22"/>
                <w:lang w:val="en-US"/>
              </w:rPr>
              <w:t xml:space="preserve">What </w:t>
            </w:r>
            <w:r w:rsidR="00AC31F0">
              <w:rPr>
                <w:sz w:val="22"/>
                <w:szCs w:val="22"/>
                <w:lang w:val="en-US"/>
              </w:rPr>
              <w:t>is</w:t>
            </w:r>
            <w:r w:rsidRPr="00781388">
              <w:rPr>
                <w:sz w:val="22"/>
                <w:szCs w:val="22"/>
                <w:lang w:val="en-US"/>
              </w:rPr>
              <w:t xml:space="preserve"> your experience with the development and application of requirements for operation and operational safety? Have requirements changed and have additional requirements been established during operation?</w:t>
            </w:r>
            <w:r w:rsidR="003349F2">
              <w:rPr>
                <w:sz w:val="22"/>
                <w:szCs w:val="22"/>
                <w:lang w:val="en-US"/>
              </w:rPr>
              <w:t xml:space="preserve"> If so, what were the reasons?</w:t>
            </w:r>
          </w:p>
          <w:p w14:paraId="521BF469" w14:textId="77777777" w:rsidR="003349F2" w:rsidRDefault="00781388" w:rsidP="005E421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781388">
              <w:rPr>
                <w:sz w:val="22"/>
                <w:szCs w:val="22"/>
                <w:lang w:val="en-US"/>
              </w:rPr>
              <w:t>In terms of changed requirements and/or optimization, which stakeholders (e.g. waste producers, regulators, post-closure safety assessors, others) have been involved and how has the interaction with t</w:t>
            </w:r>
            <w:r w:rsidR="003349F2">
              <w:rPr>
                <w:sz w:val="22"/>
                <w:szCs w:val="22"/>
                <w:lang w:val="en-US"/>
              </w:rPr>
              <w:t>hese stakeholders been managed?</w:t>
            </w:r>
          </w:p>
          <w:p w14:paraId="157C2E86" w14:textId="77777777" w:rsidR="00781388" w:rsidRDefault="00781388" w:rsidP="005E421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  <w:p w14:paraId="58117E01" w14:textId="77777777" w:rsidR="00285532" w:rsidRPr="00781388" w:rsidRDefault="00781388" w:rsidP="005E421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The proposed contribution will summarize the workshop and the main conclusions.</w:t>
            </w:r>
          </w:p>
        </w:tc>
      </w:tr>
    </w:tbl>
    <w:p w14:paraId="0E264BD7" w14:textId="77777777" w:rsidR="00ED483F" w:rsidRPr="00AF3942" w:rsidRDefault="00ED483F" w:rsidP="005E4211">
      <w:pPr>
        <w:spacing w:after="0" w:line="240" w:lineRule="auto"/>
        <w:ind w:right="-188"/>
        <w:rPr>
          <w:rFonts w:cstheme="minorHAnsi"/>
          <w:b/>
          <w:lang w:eastAsia="ja-JP"/>
        </w:rPr>
      </w:pPr>
    </w:p>
    <w:sectPr w:rsidR="00ED483F" w:rsidRPr="00AF3942" w:rsidSect="002451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F529C" w14:textId="77777777" w:rsidR="005C4270" w:rsidRDefault="005C4270" w:rsidP="00AF3942">
      <w:pPr>
        <w:spacing w:after="0" w:line="240" w:lineRule="auto"/>
      </w:pPr>
      <w:r>
        <w:separator/>
      </w:r>
    </w:p>
  </w:endnote>
  <w:endnote w:type="continuationSeparator" w:id="0">
    <w:p w14:paraId="4B0C7557" w14:textId="77777777" w:rsidR="005C4270" w:rsidRDefault="005C4270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72D3F" w14:textId="77777777" w:rsidR="005C4270" w:rsidRDefault="005C4270" w:rsidP="00AF3942">
      <w:pPr>
        <w:spacing w:after="0" w:line="240" w:lineRule="auto"/>
      </w:pPr>
      <w:r>
        <w:separator/>
      </w:r>
    </w:p>
  </w:footnote>
  <w:footnote w:type="continuationSeparator" w:id="0">
    <w:p w14:paraId="08CAB8BB" w14:textId="77777777" w:rsidR="005C4270" w:rsidRDefault="005C4270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107303">
    <w:abstractNumId w:val="1"/>
  </w:num>
  <w:num w:numId="2" w16cid:durableId="1584605483">
    <w:abstractNumId w:val="0"/>
  </w:num>
  <w:num w:numId="3" w16cid:durableId="11758485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793C46534E1EE4ECC2F3BF077FF1B16E66EBA1649108E70DFCD8B73B00157B6A"/>
  </w:docVars>
  <w:rsids>
    <w:rsidRoot w:val="00ED483F"/>
    <w:rsid w:val="00006677"/>
    <w:rsid w:val="00042A77"/>
    <w:rsid w:val="000913B7"/>
    <w:rsid w:val="000A4ADC"/>
    <w:rsid w:val="001215B8"/>
    <w:rsid w:val="00202D78"/>
    <w:rsid w:val="0024518F"/>
    <w:rsid w:val="00285532"/>
    <w:rsid w:val="00286FB0"/>
    <w:rsid w:val="002C48DA"/>
    <w:rsid w:val="003349F2"/>
    <w:rsid w:val="00394247"/>
    <w:rsid w:val="003D606A"/>
    <w:rsid w:val="005208E7"/>
    <w:rsid w:val="005C4270"/>
    <w:rsid w:val="005E4211"/>
    <w:rsid w:val="0067177D"/>
    <w:rsid w:val="00682E01"/>
    <w:rsid w:val="006F3DFE"/>
    <w:rsid w:val="0077682E"/>
    <w:rsid w:val="00781388"/>
    <w:rsid w:val="00786A19"/>
    <w:rsid w:val="0087301A"/>
    <w:rsid w:val="00903F1A"/>
    <w:rsid w:val="009249FD"/>
    <w:rsid w:val="009C3C04"/>
    <w:rsid w:val="009C6DFD"/>
    <w:rsid w:val="00AB0C0E"/>
    <w:rsid w:val="00AC31F0"/>
    <w:rsid w:val="00AF3942"/>
    <w:rsid w:val="00B22E8F"/>
    <w:rsid w:val="00BE2CC2"/>
    <w:rsid w:val="00C60BC5"/>
    <w:rsid w:val="00CD5585"/>
    <w:rsid w:val="00CE781B"/>
    <w:rsid w:val="00D12CB8"/>
    <w:rsid w:val="00DB6830"/>
    <w:rsid w:val="00ED42AD"/>
    <w:rsid w:val="00ED483F"/>
    <w:rsid w:val="00F31756"/>
    <w:rsid w:val="00F342C2"/>
    <w:rsid w:val="00FE0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518C60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4247"/>
    <w:rPr>
      <w:color w:val="0000FF" w:themeColor="hyperlink"/>
      <w:u w:val="single"/>
    </w:rPr>
  </w:style>
  <w:style w:type="paragraph" w:customStyle="1" w:styleId="Default">
    <w:name w:val="Default"/>
    <w:rsid w:val="003942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AB0C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0C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0C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C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C0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42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olnar.peter@rhk.h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.Capouet@nirond.b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hilipp.herold@bge.d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cup@enresa.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CBF13-A165-4C4C-9764-293D9F6A8C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AF70F7-8380-4031-9B08-EFD58C5FB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2775B5-31AC-4EC2-9562-751433F782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99E01A-23D2-4328-B987-ED977C80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2897</Characters>
  <Application>Microsoft Office Word</Application>
  <DocSecurity>0</DocSecurity>
  <Lines>49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LI Zhuoran, NEA/RWMD</cp:lastModifiedBy>
  <cp:revision>3</cp:revision>
  <cp:lastPrinted>2024-05-02T10:36:00Z</cp:lastPrinted>
  <dcterms:created xsi:type="dcterms:W3CDTF">2024-05-23T07:17:00Z</dcterms:created>
  <dcterms:modified xsi:type="dcterms:W3CDTF">2024-05-25T19:47:00Z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0x01010002FAEBA6069C9F458C0085404E0C5FFE</vt:lpwstr>
  </property>
  <property fmtid="{D5CDD505-2E9C-101B-9397-08002B2CF9AE}" pid="3" name="GrammarlyDocumentId">
    <vt:lpwstr>cf93ac74db3701587610c6e33063a43803d39a9882887d92104de7a82c49f84d</vt:lpwstr>
  </property>
  <property fmtid="{D5CDD505-2E9C-101B-9397-08002B2CF9AE}" pid="4" name="OECDDocumentId">
    <vt:lpwstr>793C46534E1EE4ECC2F3BF077FF1B16E66EBA1649108E70DFCD8B73B00157B6A</vt:lpwstr>
  </property>
  <property fmtid="{D5CDD505-2E9C-101B-9397-08002B2CF9AE}" pid="5" name="OecdDocumentCoteLangHash">
    <vt:lpwstr/>
  </property>
</Properties>
</file>