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FB64" w14:textId="0A0A05C4" w:rsidR="00285532" w:rsidRPr="00285532" w:rsidRDefault="221AB4F2" w:rsidP="221AB4F2">
      <w:pPr>
        <w:shd w:val="clear" w:color="auto" w:fill="FFFFFF" w:themeFill="background1"/>
        <w:spacing w:after="120"/>
        <w:jc w:val="center"/>
        <w:rPr>
          <w:b/>
          <w:bCs/>
          <w:color w:val="116AAF"/>
        </w:rPr>
      </w:pPr>
      <w:proofErr w:type="spellStart"/>
      <w:r w:rsidRPr="221AB4F2">
        <w:rPr>
          <w:b/>
          <w:bCs/>
          <w:color w:val="116AAF"/>
          <w:sz w:val="32"/>
          <w:szCs w:val="32"/>
        </w:rPr>
        <w:t>postIntegration</w:t>
      </w:r>
      <w:proofErr w:type="spellEnd"/>
      <w:r w:rsidRPr="221AB4F2">
        <w:rPr>
          <w:b/>
          <w:bCs/>
          <w:color w:val="116AAF"/>
          <w:sz w:val="32"/>
          <w:szCs w:val="32"/>
        </w:rPr>
        <w:t xml:space="preserve"> Group for the Safety Case (IGSC) Symposium 2024</w:t>
      </w:r>
      <w:r w:rsidR="00285532">
        <w:br/>
      </w:r>
      <w:r w:rsidRPr="221AB4F2">
        <w:rPr>
          <w:i/>
          <w:iCs/>
          <w:color w:val="116AAF"/>
        </w:rPr>
        <w:t>MOVING TOWARDS THE CONSTRUCTION OF A SAFE DGR – GETTING REAL</w:t>
      </w:r>
    </w:p>
    <w:p w14:paraId="50AD91C3" w14:textId="77777777" w:rsidR="00ED483F" w:rsidRPr="00D66730" w:rsidRDefault="00ED483F" w:rsidP="00ED483F">
      <w:pPr>
        <w:spacing w:after="0" w:line="240" w:lineRule="auto"/>
        <w:ind w:right="-188"/>
        <w:jc w:val="center"/>
        <w:rPr>
          <w:rFonts w:cstheme="minorHAnsi"/>
          <w:b/>
          <w:color w:val="000000" w:themeColor="text1"/>
        </w:rPr>
      </w:pPr>
    </w:p>
    <w:tbl>
      <w:tblPr>
        <w:tblStyle w:val="TableGrid"/>
        <w:tblW w:w="9083" w:type="dxa"/>
        <w:tblLook w:val="04A0" w:firstRow="1" w:lastRow="0" w:firstColumn="1" w:lastColumn="0" w:noHBand="0" w:noVBand="1"/>
      </w:tblPr>
      <w:tblGrid>
        <w:gridCol w:w="5707"/>
        <w:gridCol w:w="3376"/>
      </w:tblGrid>
      <w:tr w:rsidR="00D66730" w:rsidRPr="00D66730" w14:paraId="60547353" w14:textId="77777777" w:rsidTr="221AB4F2">
        <w:trPr>
          <w:trHeight w:val="432"/>
        </w:trPr>
        <w:tc>
          <w:tcPr>
            <w:tcW w:w="5707" w:type="dxa"/>
          </w:tcPr>
          <w:p w14:paraId="2DBDCB72" w14:textId="3B6138E6" w:rsidR="00ED483F" w:rsidRPr="00D66730" w:rsidRDefault="221AB4F2" w:rsidP="221AB4F2">
            <w:pPr>
              <w:spacing w:before="60" w:after="60"/>
              <w:rPr>
                <w:b/>
                <w:bCs/>
                <w:color w:val="000000" w:themeColor="text1"/>
              </w:rPr>
            </w:pPr>
            <w:r w:rsidRPr="221AB4F2">
              <w:rPr>
                <w:b/>
                <w:bCs/>
                <w:color w:val="000000" w:themeColor="text1"/>
              </w:rPr>
              <w:t>Abstract Number</w:t>
            </w:r>
            <w:r w:rsidRPr="221AB4F2">
              <w:rPr>
                <w:b/>
                <w:bCs/>
                <w:color w:val="000000" w:themeColor="text1"/>
                <w:lang w:eastAsia="ja-JP"/>
              </w:rPr>
              <w:t xml:space="preserve">:  </w:t>
            </w:r>
            <w:r w:rsidR="00147AE7">
              <w:rPr>
                <w:b/>
                <w:bCs/>
                <w:color w:val="000000" w:themeColor="text1"/>
                <w:lang w:eastAsia="ja-JP"/>
              </w:rPr>
              <w:t>28</w:t>
            </w:r>
          </w:p>
        </w:tc>
        <w:tc>
          <w:tcPr>
            <w:tcW w:w="3376" w:type="dxa"/>
          </w:tcPr>
          <w:p w14:paraId="65329394" w14:textId="7131AF3E" w:rsidR="00ED483F" w:rsidRPr="00D66730" w:rsidRDefault="00BF2F7C" w:rsidP="221AB4F2">
            <w:pPr>
              <w:spacing w:before="60" w:after="60"/>
              <w:rPr>
                <w:b/>
                <w:bCs/>
                <w:color w:val="000000" w:themeColor="text1"/>
                <w:lang w:eastAsia="ja-JP"/>
              </w:rPr>
            </w:pPr>
            <w:r>
              <w:rPr>
                <w:b/>
                <w:bCs/>
                <w:color w:val="000000" w:themeColor="text1"/>
                <w:lang w:eastAsia="ja-JP"/>
              </w:rPr>
              <w:t>Poster P7.3.3</w:t>
            </w:r>
            <w:r w:rsidR="00D66730" w:rsidRPr="221AB4F2">
              <w:rPr>
                <w:b/>
                <w:bCs/>
                <w:color w:val="000000" w:themeColor="text1"/>
                <w:lang w:eastAsia="ja-JP"/>
              </w:rPr>
              <w:t xml:space="preserve">        </w:t>
            </w:r>
          </w:p>
        </w:tc>
      </w:tr>
      <w:tr w:rsidR="00D66730" w:rsidRPr="00D66730" w14:paraId="0837F891" w14:textId="77777777" w:rsidTr="221AB4F2">
        <w:trPr>
          <w:trHeight w:val="516"/>
        </w:trPr>
        <w:tc>
          <w:tcPr>
            <w:tcW w:w="9083" w:type="dxa"/>
            <w:gridSpan w:val="2"/>
          </w:tcPr>
          <w:p w14:paraId="22D919D6" w14:textId="15C8EBEA" w:rsidR="00C60BC5" w:rsidRPr="00ED3748" w:rsidRDefault="221AB4F2" w:rsidP="221AB4F2">
            <w:pPr>
              <w:spacing w:before="60" w:after="60"/>
              <w:rPr>
                <w:color w:val="000000" w:themeColor="text1"/>
                <w:lang w:eastAsia="ja-JP"/>
              </w:rPr>
            </w:pPr>
            <w:r w:rsidRPr="221AB4F2">
              <w:rPr>
                <w:b/>
                <w:bCs/>
                <w:color w:val="000000" w:themeColor="text1"/>
              </w:rPr>
              <w:t>Authors</w:t>
            </w:r>
            <w:r w:rsidRPr="221AB4F2">
              <w:rPr>
                <w:b/>
                <w:bCs/>
                <w:color w:val="000000" w:themeColor="text1"/>
                <w:lang w:eastAsia="ja-JP"/>
              </w:rPr>
              <w:t xml:space="preserve">: </w:t>
            </w:r>
            <w:r w:rsidRPr="221AB4F2">
              <w:rPr>
                <w:color w:val="000000" w:themeColor="text1"/>
                <w:lang w:eastAsia="ja-JP"/>
              </w:rPr>
              <w:t>Neeft, E.A.C., Vuorio, M.R., Bartol, J., Verhoef, E.V., McCombie, C., and Chapman, N.A.</w:t>
            </w:r>
          </w:p>
          <w:p w14:paraId="78EE7040" w14:textId="77777777" w:rsidR="00C0307B" w:rsidRDefault="00E01D38" w:rsidP="002B0699">
            <w:pPr>
              <w:spacing w:before="60" w:after="60"/>
              <w:rPr>
                <w:rFonts w:cstheme="minorHAnsi"/>
                <w:color w:val="000000" w:themeColor="text1"/>
                <w:lang w:eastAsia="ja-JP"/>
              </w:rPr>
            </w:pPr>
            <w:r w:rsidRPr="00671483">
              <w:rPr>
                <w:rFonts w:cstheme="minorHAnsi"/>
                <w:color w:val="000000" w:themeColor="text1"/>
                <w:lang w:eastAsia="ja-JP"/>
              </w:rPr>
              <w:t xml:space="preserve">COVRA, Netherlands, </w:t>
            </w:r>
          </w:p>
          <w:p w14:paraId="6BC53966" w14:textId="08C5950D" w:rsidR="00AF3942" w:rsidRPr="00C0307B" w:rsidRDefault="00C0307B" w:rsidP="00C0307B">
            <w:pPr>
              <w:spacing w:before="60" w:after="60"/>
              <w:rPr>
                <w:rFonts w:cstheme="minorHAnsi"/>
                <w:color w:val="000000" w:themeColor="text1"/>
                <w:lang w:eastAsia="ja-JP"/>
              </w:rPr>
            </w:pPr>
            <w:hyperlink r:id="rId11" w:history="1">
              <w:r w:rsidRPr="007041A9">
                <w:rPr>
                  <w:rStyle w:val="Hyperlink"/>
                  <w:rFonts w:cstheme="minorHAnsi"/>
                  <w:lang w:eastAsia="ja-JP"/>
                </w:rPr>
                <w:t>erika.neeft@covra.nl</w:t>
              </w:r>
            </w:hyperlink>
          </w:p>
        </w:tc>
      </w:tr>
      <w:tr w:rsidR="00D66730" w:rsidRPr="00D66730" w14:paraId="330BCA96" w14:textId="77777777" w:rsidTr="221AB4F2">
        <w:trPr>
          <w:trHeight w:val="1067"/>
        </w:trPr>
        <w:tc>
          <w:tcPr>
            <w:tcW w:w="9083" w:type="dxa"/>
            <w:gridSpan w:val="2"/>
          </w:tcPr>
          <w:p w14:paraId="60DB58DF" w14:textId="2E0F73D4" w:rsidR="00AF3942" w:rsidRPr="00D66730" w:rsidRDefault="221AB4F2" w:rsidP="221AB4F2">
            <w:pPr>
              <w:spacing w:before="60" w:after="60"/>
              <w:rPr>
                <w:b/>
                <w:bCs/>
                <w:color w:val="000000" w:themeColor="text1"/>
                <w:lang w:eastAsia="ja-JP"/>
              </w:rPr>
            </w:pPr>
            <w:r w:rsidRPr="221AB4F2">
              <w:rPr>
                <w:b/>
                <w:bCs/>
                <w:color w:val="000000" w:themeColor="text1"/>
                <w:lang w:eastAsia="ja-JP"/>
              </w:rPr>
              <w:t xml:space="preserve">Abstract </w:t>
            </w:r>
            <w:r w:rsidRPr="221AB4F2">
              <w:rPr>
                <w:b/>
                <w:bCs/>
                <w:color w:val="000000" w:themeColor="text1"/>
              </w:rPr>
              <w:t>Title</w:t>
            </w:r>
            <w:r w:rsidRPr="221AB4F2">
              <w:rPr>
                <w:b/>
                <w:bCs/>
                <w:color w:val="000000" w:themeColor="text1"/>
                <w:lang w:eastAsia="ja-JP"/>
              </w:rPr>
              <w:t>:</w:t>
            </w:r>
            <w:r>
              <w:t xml:space="preserve"> Reducing key safety case uncertainties in a multibarrier system with poorly indurated clay and </w:t>
            </w:r>
            <w:proofErr w:type="gramStart"/>
            <w:r>
              <w:t>concrete</w:t>
            </w:r>
            <w:proofErr w:type="gramEnd"/>
          </w:p>
          <w:p w14:paraId="0223D0BE" w14:textId="77777777" w:rsidR="00C60BC5" w:rsidRPr="00D66730" w:rsidRDefault="00C60BC5" w:rsidP="002B0699">
            <w:pPr>
              <w:spacing w:before="60" w:after="60"/>
              <w:rPr>
                <w:rFonts w:cstheme="minorHAnsi"/>
                <w:b/>
                <w:color w:val="000000" w:themeColor="text1"/>
              </w:rPr>
            </w:pPr>
          </w:p>
        </w:tc>
      </w:tr>
      <w:tr w:rsidR="00D66730" w:rsidRPr="00D66730" w14:paraId="336BE7D3" w14:textId="77777777" w:rsidTr="221AB4F2">
        <w:trPr>
          <w:trHeight w:val="3307"/>
        </w:trPr>
        <w:tc>
          <w:tcPr>
            <w:tcW w:w="9083" w:type="dxa"/>
            <w:gridSpan w:val="2"/>
            <w:tcBorders>
              <w:bottom w:val="single" w:sz="4" w:space="0" w:color="auto"/>
            </w:tcBorders>
          </w:tcPr>
          <w:p w14:paraId="5D4B9EA3" w14:textId="03BF576E" w:rsidR="00285532" w:rsidRDefault="221AB4F2" w:rsidP="221AB4F2">
            <w:pPr>
              <w:spacing w:before="60" w:after="60"/>
              <w:rPr>
                <w:b/>
                <w:bCs/>
                <w:color w:val="000000" w:themeColor="text1"/>
                <w:lang w:eastAsia="ja-JP"/>
              </w:rPr>
            </w:pPr>
            <w:r w:rsidRPr="221AB4F2">
              <w:rPr>
                <w:b/>
                <w:bCs/>
                <w:color w:val="000000" w:themeColor="text1"/>
                <w:lang w:eastAsia="ja-JP"/>
              </w:rPr>
              <w:t>Abstract (300-500 words):</w:t>
            </w:r>
          </w:p>
          <w:p w14:paraId="7707140A" w14:textId="77777777" w:rsidR="00966FDB" w:rsidRPr="00966FDB" w:rsidRDefault="221AB4F2" w:rsidP="221AB4F2">
            <w:pPr>
              <w:spacing w:before="60" w:after="60"/>
              <w:jc w:val="both"/>
              <w:rPr>
                <w:color w:val="000000" w:themeColor="text1"/>
                <w:lang w:eastAsia="ja-JP"/>
              </w:rPr>
            </w:pPr>
            <w:bookmarkStart w:id="0" w:name="_Hlk165215473"/>
            <w:r w:rsidRPr="221AB4F2">
              <w:rPr>
                <w:color w:val="000000" w:themeColor="text1"/>
                <w:lang w:eastAsia="ja-JP"/>
              </w:rPr>
              <w:t xml:space="preserve">The Netherlands has a policy of long-interim storage in which waste is planned to be disposed of only in 2130 but the National Programme for the management of </w:t>
            </w:r>
            <w:proofErr w:type="spellStart"/>
            <w:r w:rsidRPr="221AB4F2">
              <w:rPr>
                <w:color w:val="000000" w:themeColor="text1"/>
                <w:lang w:eastAsia="ja-JP"/>
              </w:rPr>
              <w:t>RAdioactive</w:t>
            </w:r>
            <w:proofErr w:type="spellEnd"/>
            <w:r w:rsidRPr="221AB4F2">
              <w:rPr>
                <w:color w:val="000000" w:themeColor="text1"/>
                <w:lang w:eastAsia="ja-JP"/>
              </w:rPr>
              <w:t xml:space="preserve"> waste (NPRA) needs to be updated every 10 years (EC, 2011; van Gemert et al., 2023). The publication of safety cases in COVRA’s research programme is aligned with the review cycles of the NPRA (Verhoef et al., 2020). Disposal concepts are developed through a hierarchical set of different levels of requirements in a requirements management system. The performance and evolution of components in the multibarrier system are described and their contributions to the post-closure safety are assessed in a safety case. </w:t>
            </w:r>
          </w:p>
          <w:p w14:paraId="7943FB5B" w14:textId="7C969DDC" w:rsidR="00ED3748" w:rsidRPr="00ED3748" w:rsidRDefault="221AB4F2" w:rsidP="221AB4F2">
            <w:pPr>
              <w:spacing w:before="60" w:after="60"/>
              <w:jc w:val="both"/>
              <w:rPr>
                <w:color w:val="000000" w:themeColor="text1"/>
                <w:lang w:eastAsia="ja-JP"/>
              </w:rPr>
            </w:pPr>
            <w:r w:rsidRPr="221AB4F2">
              <w:rPr>
                <w:color w:val="000000" w:themeColor="text1"/>
                <w:lang w:eastAsia="ja-JP"/>
              </w:rPr>
              <w:t xml:space="preserve">A key model uncertainty (NEA, 2023) is the oversimplified treatment of water </w:t>
            </w:r>
            <w:r w:rsidR="00DF6ABC">
              <w:rPr>
                <w:color w:val="000000" w:themeColor="text1"/>
                <w:lang w:eastAsia="ja-JP"/>
              </w:rPr>
              <w:t xml:space="preserve">chemistry and transport </w:t>
            </w:r>
            <w:r w:rsidRPr="221AB4F2">
              <w:rPr>
                <w:color w:val="000000" w:themeColor="text1"/>
                <w:lang w:eastAsia="ja-JP"/>
              </w:rPr>
              <w:t xml:space="preserve">in barrier materials during reactions in the multibarrier system. Release of radionuclides from waste forms takes place through alteration or corrosion processes. These processes consume water for waste forms such as metal and glass. In a multibarrier system with poorly indurated clay as a host rock, concrete is frequently used as an engineered barrier. </w:t>
            </w:r>
            <w:r w:rsidR="00E01D38">
              <w:rPr>
                <w:color w:val="000000" w:themeColor="text1"/>
                <w:lang w:eastAsia="ja-JP"/>
              </w:rPr>
              <w:t xml:space="preserve">It has been estimated that </w:t>
            </w:r>
            <w:r w:rsidR="00565A34">
              <w:rPr>
                <w:color w:val="000000" w:themeColor="text1"/>
                <w:lang w:eastAsia="ja-JP"/>
              </w:rPr>
              <w:t>a consumption rate of 0.1 kg water per year per cross section disposal tunnel per metre is too large to prevent desaturation of the backfill.</w:t>
            </w:r>
            <w:r w:rsidR="00E01D38">
              <w:rPr>
                <w:color w:val="000000" w:themeColor="text1"/>
                <w:lang w:eastAsia="ja-JP"/>
              </w:rPr>
              <w:t xml:space="preserve"> </w:t>
            </w:r>
            <w:r w:rsidRPr="221AB4F2">
              <w:rPr>
                <w:color w:val="000000" w:themeColor="text1"/>
                <w:lang w:eastAsia="ja-JP"/>
              </w:rPr>
              <w:t>The leachability of concrete by clay pore water can be controlled by the choice in cement with which concrete is manufactured. Recent work on the properties of waste package concrete (Blanc et al., to be published) appears to severely limit the access of water to the waste form throughout the long post-closure phase. Inclusion of the conceptual understanding of the necessary rate of water consumption by the waste form appears to have a major impact on the calculated expected releases of radionuclides to the biosphere (Neeft et al., to be published).</w:t>
            </w:r>
            <w:r w:rsidR="00671483">
              <w:rPr>
                <w:color w:val="000000" w:themeColor="text1"/>
                <w:lang w:eastAsia="ja-JP"/>
              </w:rPr>
              <w:t xml:space="preserve"> </w:t>
            </w:r>
            <w:r w:rsidR="00E31ECD">
              <w:rPr>
                <w:color w:val="000000" w:themeColor="text1"/>
                <w:lang w:eastAsia="ja-JP"/>
              </w:rPr>
              <w:t>Inclusion of t</w:t>
            </w:r>
            <w:r w:rsidR="00671483">
              <w:rPr>
                <w:color w:val="000000" w:themeColor="text1"/>
                <w:lang w:eastAsia="ja-JP"/>
              </w:rPr>
              <w:t xml:space="preserve">he plausible range in water </w:t>
            </w:r>
            <w:r w:rsidR="00E31ECD">
              <w:rPr>
                <w:color w:val="000000" w:themeColor="text1"/>
                <w:lang w:eastAsia="ja-JP"/>
              </w:rPr>
              <w:t xml:space="preserve">consumption rate in the post-closure safety assessment can be used </w:t>
            </w:r>
            <w:r w:rsidRPr="221AB4F2">
              <w:rPr>
                <w:color w:val="000000" w:themeColor="text1"/>
                <w:lang w:eastAsia="ja-JP"/>
              </w:rPr>
              <w:t xml:space="preserve">to optimize the content of waste in a single waste package or to minimize the necessary disposal depth for many types of waste. </w:t>
            </w:r>
          </w:p>
          <w:p w14:paraId="400EC320" w14:textId="77777777" w:rsidR="00ED3748" w:rsidRPr="00ED3748" w:rsidRDefault="00ED3748" w:rsidP="00ED3748">
            <w:pPr>
              <w:spacing w:before="60" w:after="60"/>
              <w:rPr>
                <w:rFonts w:cstheme="minorHAnsi"/>
                <w:color w:val="000000" w:themeColor="text1"/>
                <w:lang w:eastAsia="ja-JP"/>
              </w:rPr>
            </w:pPr>
          </w:p>
          <w:p w14:paraId="11608037" w14:textId="0D05894D" w:rsidR="00ED3748" w:rsidRPr="00ED3748" w:rsidRDefault="221AB4F2" w:rsidP="221AB4F2">
            <w:pPr>
              <w:spacing w:before="60" w:after="60"/>
              <w:rPr>
                <w:color w:val="000000" w:themeColor="text1"/>
                <w:lang w:eastAsia="ja-JP"/>
              </w:rPr>
            </w:pPr>
            <w:r w:rsidRPr="221AB4F2">
              <w:rPr>
                <w:color w:val="000000" w:themeColor="text1"/>
                <w:lang w:eastAsia="ja-JP"/>
              </w:rPr>
              <w:t>Blanc et al., (to be published). Description of ILW modelling results and recommendations for future experiments and numerical work: Deliverable 2.15.</w:t>
            </w:r>
          </w:p>
          <w:p w14:paraId="3E236C70" w14:textId="77777777" w:rsidR="00ED3748" w:rsidRPr="00ED3748" w:rsidRDefault="221AB4F2" w:rsidP="221AB4F2">
            <w:pPr>
              <w:spacing w:before="60" w:after="60"/>
              <w:rPr>
                <w:color w:val="000000" w:themeColor="text1"/>
                <w:lang w:eastAsia="ja-JP"/>
              </w:rPr>
            </w:pPr>
            <w:r w:rsidRPr="221AB4F2">
              <w:rPr>
                <w:color w:val="000000" w:themeColor="text1"/>
                <w:lang w:eastAsia="ja-JP"/>
              </w:rPr>
              <w:t xml:space="preserve">EC, (2011). Council Directive 2011/70/Euratom of 19 July 2011 establishing a </w:t>
            </w:r>
            <w:proofErr w:type="gramStart"/>
            <w:r w:rsidRPr="221AB4F2">
              <w:rPr>
                <w:color w:val="000000" w:themeColor="text1"/>
                <w:lang w:eastAsia="ja-JP"/>
              </w:rPr>
              <w:t>Community</w:t>
            </w:r>
            <w:proofErr w:type="gramEnd"/>
            <w:r w:rsidRPr="221AB4F2">
              <w:rPr>
                <w:color w:val="000000" w:themeColor="text1"/>
                <w:lang w:eastAsia="ja-JP"/>
              </w:rPr>
              <w:t xml:space="preserve"> framework for the responsible and safe management of spent fuel and radioactive waste, Official Journal of the European Union L199/48-56 02.08.2011.</w:t>
            </w:r>
          </w:p>
          <w:p w14:paraId="5D494C10" w14:textId="77777777" w:rsidR="00ED3748" w:rsidRPr="00ED3748" w:rsidRDefault="221AB4F2" w:rsidP="221AB4F2">
            <w:pPr>
              <w:spacing w:before="60" w:after="60"/>
              <w:rPr>
                <w:color w:val="000000" w:themeColor="text1"/>
                <w:lang w:eastAsia="ja-JP"/>
              </w:rPr>
            </w:pPr>
            <w:r w:rsidRPr="221AB4F2">
              <w:rPr>
                <w:color w:val="000000" w:themeColor="text1"/>
                <w:lang w:eastAsia="ja-JP"/>
              </w:rPr>
              <w:t>NEA, (2023). Building Confidence in the Face of Uncertainty OECD Publishing, Paris.</w:t>
            </w:r>
          </w:p>
          <w:p w14:paraId="5FF7DD73" w14:textId="3BE0DCB7" w:rsidR="00ED3748" w:rsidRPr="00ED3748" w:rsidRDefault="221AB4F2" w:rsidP="221AB4F2">
            <w:pPr>
              <w:spacing w:before="60" w:after="60"/>
              <w:rPr>
                <w:color w:val="000000" w:themeColor="text1"/>
                <w:lang w:eastAsia="ja-JP"/>
              </w:rPr>
            </w:pPr>
            <w:r w:rsidRPr="221AB4F2">
              <w:rPr>
                <w:color w:val="000000" w:themeColor="text1"/>
                <w:lang w:eastAsia="ja-JP"/>
              </w:rPr>
              <w:t>Neeft al., (to be published). COPERA Clay 2024 Safety case and Feasibility studies.</w:t>
            </w:r>
          </w:p>
          <w:p w14:paraId="42F7643C" w14:textId="23805C1B" w:rsidR="00ED3748" w:rsidRPr="00ED3748" w:rsidRDefault="221AB4F2" w:rsidP="221AB4F2">
            <w:pPr>
              <w:spacing w:before="60" w:after="60"/>
              <w:rPr>
                <w:color w:val="000000" w:themeColor="text1"/>
                <w:lang w:eastAsia="ja-JP"/>
              </w:rPr>
            </w:pPr>
            <w:r w:rsidRPr="221AB4F2">
              <w:rPr>
                <w:color w:val="000000" w:themeColor="text1"/>
                <w:lang w:eastAsia="ja-JP"/>
              </w:rPr>
              <w:t>van Gemert et al., (2023). Draft Memorandum on Scope and Level of Detail - National Programme on Radioactive Waste (NPRA).</w:t>
            </w:r>
          </w:p>
          <w:p w14:paraId="5E89D526" w14:textId="0E5A2B23" w:rsidR="001E7E4C" w:rsidRDefault="221AB4F2" w:rsidP="221AB4F2">
            <w:pPr>
              <w:spacing w:before="60" w:after="60"/>
              <w:rPr>
                <w:b/>
                <w:bCs/>
                <w:color w:val="000000" w:themeColor="text1"/>
                <w:lang w:eastAsia="ja-JP"/>
              </w:rPr>
            </w:pPr>
            <w:r w:rsidRPr="221AB4F2">
              <w:rPr>
                <w:color w:val="000000" w:themeColor="text1"/>
                <w:lang w:eastAsia="ja-JP"/>
              </w:rPr>
              <w:t xml:space="preserve">Verhoef </w:t>
            </w:r>
            <w:proofErr w:type="gramStart"/>
            <w:r w:rsidRPr="221AB4F2">
              <w:rPr>
                <w:color w:val="000000" w:themeColor="text1"/>
                <w:lang w:eastAsia="ja-JP"/>
              </w:rPr>
              <w:t>et al.( 2020</w:t>
            </w:r>
            <w:proofErr w:type="gramEnd"/>
            <w:r w:rsidRPr="221AB4F2">
              <w:rPr>
                <w:color w:val="000000" w:themeColor="text1"/>
                <w:lang w:eastAsia="ja-JP"/>
              </w:rPr>
              <w:t>), Long-term research programme for geological disposal of radioactive waste, Overall research programme and work programme for 2020-2025.</w:t>
            </w:r>
            <w:bookmarkEnd w:id="0"/>
          </w:p>
          <w:p w14:paraId="6667B3DC" w14:textId="6549BC64" w:rsidR="00D66730" w:rsidRPr="00D66730" w:rsidRDefault="00D66730" w:rsidP="002B0699">
            <w:pPr>
              <w:spacing w:before="60" w:after="60"/>
              <w:rPr>
                <w:rFonts w:cstheme="minorHAnsi"/>
                <w:b/>
                <w:color w:val="000000" w:themeColor="text1"/>
                <w:lang w:eastAsia="ja-JP"/>
              </w:rPr>
            </w:pPr>
          </w:p>
        </w:tc>
      </w:tr>
    </w:tbl>
    <w:p w14:paraId="3DB85F1E" w14:textId="77777777" w:rsidR="00ED483F" w:rsidRPr="005D1A3C" w:rsidRDefault="00ED483F" w:rsidP="00C60BC5">
      <w:pPr>
        <w:spacing w:after="0" w:line="240" w:lineRule="auto"/>
        <w:ind w:right="-188"/>
        <w:rPr>
          <w:rFonts w:cstheme="minorHAnsi"/>
          <w:b/>
          <w:color w:val="EEECE1" w:themeColor="background2"/>
          <w:lang w:eastAsia="zh-CN"/>
        </w:rPr>
      </w:pPr>
    </w:p>
    <w:sectPr w:rsidR="00ED483F" w:rsidRPr="005D1A3C" w:rsidSect="009117AD">
      <w:pgSz w:w="11906" w:h="16838"/>
      <w:pgMar w:top="56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7DF03" w14:textId="77777777" w:rsidR="00856135" w:rsidRDefault="00856135" w:rsidP="00AF3942">
      <w:pPr>
        <w:spacing w:after="0" w:line="240" w:lineRule="auto"/>
      </w:pPr>
      <w:r>
        <w:separator/>
      </w:r>
    </w:p>
  </w:endnote>
  <w:endnote w:type="continuationSeparator" w:id="0">
    <w:p w14:paraId="7C40375A" w14:textId="77777777" w:rsidR="00856135" w:rsidRDefault="00856135"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43C76" w14:textId="77777777" w:rsidR="00856135" w:rsidRDefault="00856135" w:rsidP="00AF3942">
      <w:pPr>
        <w:spacing w:after="0" w:line="240" w:lineRule="auto"/>
      </w:pPr>
      <w:r>
        <w:separator/>
      </w:r>
    </w:p>
  </w:footnote>
  <w:footnote w:type="continuationSeparator" w:id="0">
    <w:p w14:paraId="107DE27F" w14:textId="77777777" w:rsidR="00856135" w:rsidRDefault="00856135"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F6869E3"/>
    <w:multiLevelType w:val="hybridMultilevel"/>
    <w:tmpl w:val="FA7AA9C0"/>
    <w:lvl w:ilvl="0" w:tplc="9E40692A">
      <w:start w:val="1"/>
      <w:numFmt w:val="bullet"/>
      <w:lvlText w:val=""/>
      <w:lvlJc w:val="left"/>
      <w:pPr>
        <w:ind w:left="720" w:hanging="360"/>
      </w:pPr>
      <w:rPr>
        <w:rFonts w:ascii="Symbol" w:hAnsi="Symbol" w:hint="default"/>
      </w:rPr>
    </w:lvl>
    <w:lvl w:ilvl="1" w:tplc="E41EE480">
      <w:start w:val="1"/>
      <w:numFmt w:val="bullet"/>
      <w:lvlText w:val="o"/>
      <w:lvlJc w:val="left"/>
      <w:pPr>
        <w:ind w:left="1440" w:hanging="360"/>
      </w:pPr>
      <w:rPr>
        <w:rFonts w:ascii="Courier New" w:hAnsi="Courier New" w:hint="default"/>
      </w:rPr>
    </w:lvl>
    <w:lvl w:ilvl="2" w:tplc="9D369942">
      <w:start w:val="1"/>
      <w:numFmt w:val="bullet"/>
      <w:lvlText w:val=""/>
      <w:lvlJc w:val="left"/>
      <w:pPr>
        <w:ind w:left="2160" w:hanging="360"/>
      </w:pPr>
      <w:rPr>
        <w:rFonts w:ascii="Wingdings" w:hAnsi="Wingdings" w:hint="default"/>
      </w:rPr>
    </w:lvl>
    <w:lvl w:ilvl="3" w:tplc="0EDE9CB4">
      <w:start w:val="1"/>
      <w:numFmt w:val="bullet"/>
      <w:lvlText w:val=""/>
      <w:lvlJc w:val="left"/>
      <w:pPr>
        <w:ind w:left="2880" w:hanging="360"/>
      </w:pPr>
      <w:rPr>
        <w:rFonts w:ascii="Symbol" w:hAnsi="Symbol" w:hint="default"/>
      </w:rPr>
    </w:lvl>
    <w:lvl w:ilvl="4" w:tplc="51A8179E">
      <w:start w:val="1"/>
      <w:numFmt w:val="bullet"/>
      <w:lvlText w:val="o"/>
      <w:lvlJc w:val="left"/>
      <w:pPr>
        <w:ind w:left="3600" w:hanging="360"/>
      </w:pPr>
      <w:rPr>
        <w:rFonts w:ascii="Courier New" w:hAnsi="Courier New" w:hint="default"/>
      </w:rPr>
    </w:lvl>
    <w:lvl w:ilvl="5" w:tplc="743EF4EA">
      <w:start w:val="1"/>
      <w:numFmt w:val="bullet"/>
      <w:lvlText w:val=""/>
      <w:lvlJc w:val="left"/>
      <w:pPr>
        <w:ind w:left="4320" w:hanging="360"/>
      </w:pPr>
      <w:rPr>
        <w:rFonts w:ascii="Wingdings" w:hAnsi="Wingdings" w:hint="default"/>
      </w:rPr>
    </w:lvl>
    <w:lvl w:ilvl="6" w:tplc="75F47C56">
      <w:start w:val="1"/>
      <w:numFmt w:val="bullet"/>
      <w:lvlText w:val=""/>
      <w:lvlJc w:val="left"/>
      <w:pPr>
        <w:ind w:left="5040" w:hanging="360"/>
      </w:pPr>
      <w:rPr>
        <w:rFonts w:ascii="Symbol" w:hAnsi="Symbol" w:hint="default"/>
      </w:rPr>
    </w:lvl>
    <w:lvl w:ilvl="7" w:tplc="6B9CA63A">
      <w:start w:val="1"/>
      <w:numFmt w:val="bullet"/>
      <w:lvlText w:val="o"/>
      <w:lvlJc w:val="left"/>
      <w:pPr>
        <w:ind w:left="5760" w:hanging="360"/>
      </w:pPr>
      <w:rPr>
        <w:rFonts w:ascii="Courier New" w:hAnsi="Courier New" w:hint="default"/>
      </w:rPr>
    </w:lvl>
    <w:lvl w:ilvl="8" w:tplc="ABC4068C">
      <w:start w:val="1"/>
      <w:numFmt w:val="bullet"/>
      <w:lvlText w:val=""/>
      <w:lvlJc w:val="left"/>
      <w:pPr>
        <w:ind w:left="6480" w:hanging="360"/>
      </w:pPr>
      <w:rPr>
        <w:rFonts w:ascii="Wingdings" w:hAnsi="Wingdings" w:hint="default"/>
      </w:rPr>
    </w:lvl>
  </w:abstractNum>
  <w:abstractNum w:abstractNumId="2"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639648800">
    <w:abstractNumId w:val="1"/>
  </w:num>
  <w:num w:numId="2" w16cid:durableId="1012874974">
    <w:abstractNumId w:val="2"/>
  </w:num>
  <w:num w:numId="3" w16cid:durableId="962267413">
    <w:abstractNumId w:val="0"/>
  </w:num>
  <w:num w:numId="4" w16cid:durableId="105076439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formatting="1" w:enforcement="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s>
  <w:rsids>
    <w:rsidRoot w:val="00ED483F"/>
    <w:rsid w:val="00006677"/>
    <w:rsid w:val="000342F2"/>
    <w:rsid w:val="00094E6F"/>
    <w:rsid w:val="000E7585"/>
    <w:rsid w:val="001215B8"/>
    <w:rsid w:val="00147AE7"/>
    <w:rsid w:val="001E7E4C"/>
    <w:rsid w:val="0024518F"/>
    <w:rsid w:val="00285532"/>
    <w:rsid w:val="002B0699"/>
    <w:rsid w:val="002C48DA"/>
    <w:rsid w:val="003D606A"/>
    <w:rsid w:val="004A78D2"/>
    <w:rsid w:val="005208E7"/>
    <w:rsid w:val="005403B7"/>
    <w:rsid w:val="00565A34"/>
    <w:rsid w:val="005D1A3C"/>
    <w:rsid w:val="00600FB2"/>
    <w:rsid w:val="00637528"/>
    <w:rsid w:val="00660645"/>
    <w:rsid w:val="00671483"/>
    <w:rsid w:val="0067177D"/>
    <w:rsid w:val="00675982"/>
    <w:rsid w:val="006D15F8"/>
    <w:rsid w:val="0077682E"/>
    <w:rsid w:val="007E39C3"/>
    <w:rsid w:val="00856135"/>
    <w:rsid w:val="009117AD"/>
    <w:rsid w:val="009249FD"/>
    <w:rsid w:val="00966FDB"/>
    <w:rsid w:val="009C3C04"/>
    <w:rsid w:val="00AF3942"/>
    <w:rsid w:val="00B22E8F"/>
    <w:rsid w:val="00BF2F7C"/>
    <w:rsid w:val="00C0307B"/>
    <w:rsid w:val="00C60BC5"/>
    <w:rsid w:val="00C82EB9"/>
    <w:rsid w:val="00CC7AD6"/>
    <w:rsid w:val="00CD5585"/>
    <w:rsid w:val="00D66730"/>
    <w:rsid w:val="00D7639A"/>
    <w:rsid w:val="00DB6830"/>
    <w:rsid w:val="00DC10E8"/>
    <w:rsid w:val="00DF6ABC"/>
    <w:rsid w:val="00E01D38"/>
    <w:rsid w:val="00E31ECD"/>
    <w:rsid w:val="00ED3748"/>
    <w:rsid w:val="00ED483F"/>
    <w:rsid w:val="00F57572"/>
    <w:rsid w:val="00F62892"/>
    <w:rsid w:val="221AB4F2"/>
    <w:rsid w:val="7B6B39B2"/>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8C127"/>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character" w:styleId="CommentReference">
    <w:name w:val="annotation reference"/>
    <w:basedOn w:val="DefaultParagraphFont"/>
    <w:uiPriority w:val="99"/>
    <w:semiHidden/>
    <w:unhideWhenUsed/>
    <w:rsid w:val="00F62892"/>
    <w:rPr>
      <w:sz w:val="16"/>
      <w:szCs w:val="16"/>
    </w:rPr>
  </w:style>
  <w:style w:type="paragraph" w:styleId="CommentText">
    <w:name w:val="annotation text"/>
    <w:basedOn w:val="Normal"/>
    <w:link w:val="CommentTextChar"/>
    <w:uiPriority w:val="99"/>
    <w:unhideWhenUsed/>
    <w:rsid w:val="00F62892"/>
    <w:pPr>
      <w:spacing w:line="240" w:lineRule="auto"/>
    </w:pPr>
    <w:rPr>
      <w:sz w:val="20"/>
      <w:szCs w:val="20"/>
    </w:rPr>
  </w:style>
  <w:style w:type="character" w:customStyle="1" w:styleId="CommentTextChar">
    <w:name w:val="Comment Text Char"/>
    <w:basedOn w:val="DefaultParagraphFont"/>
    <w:link w:val="CommentText"/>
    <w:uiPriority w:val="99"/>
    <w:rsid w:val="00F62892"/>
    <w:rPr>
      <w:sz w:val="20"/>
      <w:szCs w:val="20"/>
    </w:rPr>
  </w:style>
  <w:style w:type="paragraph" w:styleId="CommentSubject">
    <w:name w:val="annotation subject"/>
    <w:basedOn w:val="CommentText"/>
    <w:next w:val="CommentText"/>
    <w:link w:val="CommentSubjectChar"/>
    <w:uiPriority w:val="99"/>
    <w:semiHidden/>
    <w:unhideWhenUsed/>
    <w:rsid w:val="00F62892"/>
    <w:rPr>
      <w:b/>
      <w:bCs/>
    </w:rPr>
  </w:style>
  <w:style w:type="character" w:customStyle="1" w:styleId="CommentSubjectChar">
    <w:name w:val="Comment Subject Char"/>
    <w:basedOn w:val="CommentTextChar"/>
    <w:link w:val="CommentSubject"/>
    <w:uiPriority w:val="99"/>
    <w:semiHidden/>
    <w:rsid w:val="00F62892"/>
    <w:rPr>
      <w:b/>
      <w:bCs/>
      <w:sz w:val="20"/>
      <w:szCs w:val="20"/>
    </w:rPr>
  </w:style>
  <w:style w:type="character" w:styleId="Hyperlink">
    <w:name w:val="Hyperlink"/>
    <w:basedOn w:val="DefaultParagraphFont"/>
    <w:uiPriority w:val="99"/>
    <w:unhideWhenUsed/>
    <w:rsid w:val="00C0307B"/>
    <w:rPr>
      <w:color w:val="0000FF" w:themeColor="hyperlink"/>
      <w:u w:val="single"/>
    </w:rPr>
  </w:style>
  <w:style w:type="character" w:styleId="UnresolvedMention">
    <w:name w:val="Unresolved Mention"/>
    <w:basedOn w:val="DefaultParagraphFont"/>
    <w:uiPriority w:val="99"/>
    <w:semiHidden/>
    <w:unhideWhenUsed/>
    <w:rsid w:val="00C030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rika.neeft@covra.n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56E060-C227-423C-B4FB-8512BE1C35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9AAD72-C256-4F20-90A5-7852E2EC9C26}">
  <ds:schemaRefs>
    <ds:schemaRef ds:uri="947f5427-ef21-4d0b-b5d2-e3eadf686f4e"/>
    <ds:schemaRef ds:uri="http://purl.org/dc/terms/"/>
    <ds:schemaRef ds:uri="http://purl.org/dc/dcmitype/"/>
    <ds:schemaRef ds:uri="http://www.w3.org/XML/1998/namespace"/>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4D133F29-A10F-484C-9404-581DA4DC2ADA}">
  <ds:schemaRefs>
    <ds:schemaRef ds:uri="http://schemas.openxmlformats.org/officeDocument/2006/bibliography"/>
  </ds:schemaRefs>
</ds:datastoreItem>
</file>

<file path=customXml/itemProps4.xml><?xml version="1.0" encoding="utf-8"?>
<ds:datastoreItem xmlns:ds="http://schemas.openxmlformats.org/officeDocument/2006/customXml" ds:itemID="{4E1E749A-FE5B-4518-8241-9E739A9A57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521</Words>
  <Characters>2928</Characters>
  <Application>Microsoft Office Word</Application>
  <DocSecurity>0</DocSecurity>
  <Lines>49</Lines>
  <Paragraphs>18</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3431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_final_final_final</dc:title>
  <dc:creator>KWONG Gloria, NEA/PR</dc:creator>
  <cp:lastModifiedBy>MEKKI Soufiane, NEA/RWMD</cp:lastModifiedBy>
  <cp:revision>8</cp:revision>
  <cp:lastPrinted>2024-02-26T10:45:00Z</cp:lastPrinted>
  <dcterms:created xsi:type="dcterms:W3CDTF">2024-04-23T10:45:00Z</dcterms:created>
  <dcterms:modified xsi:type="dcterms:W3CDTF">2024-06-20T15:24:00Z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ContentTypeId">
    <vt:lpwstr>0x01010002FAEBA6069C9F458C0085404E0C5FFE</vt:lpwstr>
  </property>
</Properties>
</file>