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52946D1E" w:rsidR="00ED483F" w:rsidRPr="000D5735" w:rsidRDefault="00ED483F" w:rsidP="002B0699">
            <w:pPr>
              <w:spacing w:before="60" w:after="60"/>
              <w:rPr>
                <w:rFonts w:cstheme="minorHAnsi"/>
                <w:b/>
                <w:color w:val="000000" w:themeColor="text1"/>
                <w:lang w:eastAsia="zh-CN"/>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0D5735">
              <w:rPr>
                <w:rFonts w:cstheme="minorHAnsi" w:hint="eastAsia"/>
                <w:b/>
                <w:color w:val="000000" w:themeColor="text1"/>
                <w:lang w:eastAsia="zh-CN"/>
              </w:rPr>
              <w:t>31</w:t>
            </w:r>
          </w:p>
        </w:tc>
        <w:tc>
          <w:tcPr>
            <w:tcW w:w="3376" w:type="dxa"/>
          </w:tcPr>
          <w:p w14:paraId="65329394" w14:textId="6C543F65" w:rsidR="00ED483F" w:rsidRPr="00D66730" w:rsidRDefault="005108FA" w:rsidP="002B0699">
            <w:pPr>
              <w:spacing w:before="60" w:after="60"/>
              <w:rPr>
                <w:rFonts w:cstheme="minorHAnsi"/>
                <w:b/>
                <w:color w:val="000000" w:themeColor="text1"/>
                <w:lang w:eastAsia="ja-JP"/>
              </w:rPr>
            </w:pPr>
            <w:r>
              <w:rPr>
                <w:rFonts w:cstheme="minorHAnsi"/>
                <w:b/>
                <w:color w:val="000000" w:themeColor="text1"/>
                <w:lang w:eastAsia="ja-JP"/>
              </w:rPr>
              <w:t>Session 7.1.5</w:t>
            </w:r>
            <w:r w:rsidR="00D66730">
              <w:rPr>
                <w:rFonts w:cstheme="minorHAnsi"/>
                <w:b/>
                <w:color w:val="000000" w:themeColor="text1"/>
                <w:lang w:eastAsia="ja-JP"/>
              </w:rPr>
              <w:t xml:space="preserve">  </w:t>
            </w:r>
          </w:p>
        </w:tc>
      </w:tr>
      <w:tr w:rsidR="00D66730" w:rsidRPr="00D66730" w14:paraId="0837F891" w14:textId="77777777" w:rsidTr="00D66730">
        <w:trPr>
          <w:trHeight w:val="516"/>
        </w:trPr>
        <w:tc>
          <w:tcPr>
            <w:tcW w:w="9083" w:type="dxa"/>
            <w:gridSpan w:val="2"/>
          </w:tcPr>
          <w:p w14:paraId="25A02019" w14:textId="77777777" w:rsidR="00240F6F" w:rsidRDefault="00ED483F" w:rsidP="00240F6F">
            <w:pPr>
              <w:spacing w:after="200" w:line="276" w:lineRule="auto"/>
              <w:rPr>
                <w:rFonts w:cstheme="minorHAnsi"/>
                <w:b/>
                <w:color w:val="000000" w:themeColor="text1"/>
                <w:lang w:val="sv-SE" w:eastAsia="ja-JP"/>
              </w:rPr>
            </w:pPr>
            <w:r w:rsidRPr="00240F6F">
              <w:rPr>
                <w:rFonts w:cstheme="minorHAnsi"/>
                <w:b/>
                <w:color w:val="000000" w:themeColor="text1"/>
                <w:lang w:val="sv-SE"/>
              </w:rPr>
              <w:t>Author</w:t>
            </w:r>
            <w:r w:rsidR="00AF3942" w:rsidRPr="00240F6F">
              <w:rPr>
                <w:rFonts w:cstheme="minorHAnsi"/>
                <w:b/>
                <w:color w:val="000000" w:themeColor="text1"/>
                <w:lang w:val="sv-SE" w:eastAsia="ja-JP"/>
              </w:rPr>
              <w:t>:</w:t>
            </w:r>
            <w:r w:rsidR="00240F6F" w:rsidRPr="00240F6F">
              <w:rPr>
                <w:rFonts w:cstheme="minorHAnsi"/>
                <w:b/>
                <w:color w:val="000000" w:themeColor="text1"/>
                <w:lang w:val="sv-SE" w:eastAsia="ja-JP"/>
              </w:rPr>
              <w:t xml:space="preserve"> </w:t>
            </w:r>
          </w:p>
          <w:p w14:paraId="423957F9" w14:textId="34A1289F" w:rsidR="00240F6F" w:rsidRPr="00240F6F" w:rsidRDefault="00240F6F" w:rsidP="00240F6F">
            <w:pPr>
              <w:spacing w:after="200" w:line="276" w:lineRule="auto"/>
              <w:rPr>
                <w:lang w:val="sv-SE"/>
              </w:rPr>
            </w:pPr>
            <w:r w:rsidRPr="00240F6F">
              <w:rPr>
                <w:lang w:val="sv-SE"/>
              </w:rPr>
              <w:t>Shulan Xu</w:t>
            </w:r>
            <w:r w:rsidRPr="00240F6F">
              <w:rPr>
                <w:vertAlign w:val="superscript"/>
                <w:lang w:val="sv-SE"/>
              </w:rPr>
              <w:t>1</w:t>
            </w:r>
            <w:r w:rsidRPr="00240F6F">
              <w:rPr>
                <w:lang w:val="sv-SE"/>
              </w:rPr>
              <w:t>, Anders Wörman</w:t>
            </w:r>
            <w:r w:rsidRPr="00240F6F">
              <w:rPr>
                <w:vertAlign w:val="superscript"/>
                <w:lang w:val="sv-SE"/>
              </w:rPr>
              <w:t>2</w:t>
            </w:r>
            <w:r w:rsidRPr="00240F6F">
              <w:rPr>
                <w:lang w:val="sv-SE"/>
              </w:rPr>
              <w:t>, Ryk K</w:t>
            </w:r>
            <w:r w:rsidRPr="00240F6F">
              <w:rPr>
                <w:rFonts w:cstheme="minorHAnsi"/>
                <w:lang w:val="sv-SE"/>
              </w:rPr>
              <w:t>ł</w:t>
            </w:r>
            <w:r w:rsidRPr="00240F6F">
              <w:rPr>
                <w:lang w:val="sv-SE"/>
              </w:rPr>
              <w:t>os</w:t>
            </w:r>
            <w:r w:rsidRPr="00240F6F">
              <w:rPr>
                <w:vertAlign w:val="superscript"/>
                <w:lang w:val="sv-SE"/>
              </w:rPr>
              <w:t>3</w:t>
            </w:r>
            <w:r w:rsidRPr="00240F6F">
              <w:rPr>
                <w:lang w:val="sv-SE"/>
              </w:rPr>
              <w:t>, Reda Guerfi</w:t>
            </w:r>
            <w:r w:rsidRPr="00240F6F">
              <w:rPr>
                <w:vertAlign w:val="superscript"/>
                <w:lang w:val="sv-SE"/>
              </w:rPr>
              <w:t>4</w:t>
            </w:r>
            <w:r w:rsidRPr="00240F6F">
              <w:rPr>
                <w:lang w:val="sv-SE"/>
              </w:rPr>
              <w:t>, Björn Dverstorp</w:t>
            </w:r>
            <w:r w:rsidRPr="00240F6F">
              <w:rPr>
                <w:vertAlign w:val="superscript"/>
                <w:lang w:val="sv-SE"/>
              </w:rPr>
              <w:t>5</w:t>
            </w:r>
          </w:p>
          <w:p w14:paraId="2CF0CF0A" w14:textId="77777777" w:rsidR="00240F6F" w:rsidRPr="00FE0918" w:rsidRDefault="00240F6F" w:rsidP="00240F6F">
            <w:pPr>
              <w:pStyle w:val="ListParagraph"/>
              <w:numPr>
                <w:ilvl w:val="0"/>
                <w:numId w:val="4"/>
              </w:numPr>
            </w:pPr>
            <w:r w:rsidRPr="00FE0918">
              <w:t>Xu Environmental Consulting AB, Sweden</w:t>
            </w:r>
          </w:p>
          <w:p w14:paraId="2D437578" w14:textId="77777777" w:rsidR="00240F6F" w:rsidRPr="00FE0918" w:rsidRDefault="00240F6F" w:rsidP="00240F6F">
            <w:pPr>
              <w:pStyle w:val="ListParagraph"/>
              <w:numPr>
                <w:ilvl w:val="0"/>
                <w:numId w:val="4"/>
              </w:numPr>
            </w:pPr>
            <w:r w:rsidRPr="00FE0918">
              <w:t>Royal Institute of Technology (KTH), Sweden</w:t>
            </w:r>
          </w:p>
          <w:p w14:paraId="0FFE5756" w14:textId="77777777" w:rsidR="00240F6F" w:rsidRPr="00FE0918" w:rsidRDefault="00240F6F" w:rsidP="00240F6F">
            <w:pPr>
              <w:pStyle w:val="ListParagraph"/>
              <w:numPr>
                <w:ilvl w:val="0"/>
                <w:numId w:val="4"/>
              </w:numPr>
            </w:pPr>
            <w:r w:rsidRPr="00FE0918">
              <w:t>Aleksandria Sciences Ltd., UK</w:t>
            </w:r>
          </w:p>
          <w:p w14:paraId="2B693072" w14:textId="77777777" w:rsidR="00240F6F" w:rsidRPr="00FE0918" w:rsidRDefault="00240F6F" w:rsidP="00240F6F">
            <w:pPr>
              <w:pStyle w:val="ListParagraph"/>
              <w:numPr>
                <w:ilvl w:val="0"/>
                <w:numId w:val="4"/>
              </w:numPr>
            </w:pPr>
            <w:r w:rsidRPr="00FE0918">
              <w:t xml:space="preserve">Radiation </w:t>
            </w:r>
            <w:r>
              <w:t>and</w:t>
            </w:r>
            <w:r w:rsidRPr="00FE0918">
              <w:t xml:space="preserve"> Nuclear Safety Authority (STUK), Finland</w:t>
            </w:r>
          </w:p>
          <w:p w14:paraId="0603DEFF" w14:textId="77777777" w:rsidR="00AF3942" w:rsidRDefault="00240F6F" w:rsidP="00240F6F">
            <w:pPr>
              <w:pStyle w:val="ListParagraph"/>
              <w:numPr>
                <w:ilvl w:val="0"/>
                <w:numId w:val="4"/>
              </w:numPr>
            </w:pPr>
            <w:r w:rsidRPr="00FE0918">
              <w:t>Swedish Radiation Safety Authority (SSM), Sweden</w:t>
            </w:r>
          </w:p>
          <w:p w14:paraId="6BC53966" w14:textId="323D135F" w:rsidR="00240F6F" w:rsidRPr="00240F6F" w:rsidRDefault="00240F6F" w:rsidP="00240F6F">
            <w:pPr>
              <w:pStyle w:val="ListParagraph"/>
              <w:ind w:left="644"/>
            </w:pPr>
          </w:p>
        </w:tc>
      </w:tr>
      <w:tr w:rsidR="00D66730" w:rsidRPr="00D66730" w14:paraId="330BCA96" w14:textId="77777777" w:rsidTr="00D66730">
        <w:trPr>
          <w:trHeight w:val="1067"/>
        </w:trPr>
        <w:tc>
          <w:tcPr>
            <w:tcW w:w="9083" w:type="dxa"/>
            <w:gridSpan w:val="2"/>
          </w:tcPr>
          <w:p w14:paraId="07269E2C" w14:textId="77777777" w:rsidR="00240F6F" w:rsidRDefault="00285532" w:rsidP="00240F6F">
            <w:pPr>
              <w:spacing w:after="200" w:line="276" w:lineRule="auto"/>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240F6F">
              <w:rPr>
                <w:rFonts w:cstheme="minorHAnsi"/>
                <w:b/>
                <w:color w:val="000000" w:themeColor="text1"/>
                <w:lang w:eastAsia="ja-JP"/>
              </w:rPr>
              <w:t xml:space="preserve"> </w:t>
            </w:r>
          </w:p>
          <w:p w14:paraId="6F3A9E69" w14:textId="77777777" w:rsidR="00C60BC5" w:rsidRPr="00565F4A" w:rsidRDefault="00240F6F" w:rsidP="00240F6F">
            <w:pPr>
              <w:spacing w:after="200" w:line="276" w:lineRule="auto"/>
            </w:pPr>
            <w:r w:rsidRPr="00565F4A">
              <w:t>Study of Hydrological Conditions at the Geosphere-Biosphere Interface and Development of Alternative Models for Biosphere Assessment – a Regulatory Perspective</w:t>
            </w:r>
          </w:p>
          <w:p w14:paraId="5ED11A9C" w14:textId="188C15B8" w:rsidR="00DB11E2" w:rsidRPr="00565F4A" w:rsidRDefault="00DB11E2" w:rsidP="00DB11E2">
            <w:r w:rsidRPr="00565F4A">
              <w:t>Key author:</w:t>
            </w:r>
          </w:p>
          <w:p w14:paraId="4A386AE3" w14:textId="7BEA1914" w:rsidR="003C49DF" w:rsidRPr="00565F4A" w:rsidRDefault="003C49DF" w:rsidP="00DB11E2">
            <w:r w:rsidRPr="00565F4A">
              <w:t>Shulan Xu</w:t>
            </w:r>
          </w:p>
          <w:p w14:paraId="553F482F" w14:textId="77777777" w:rsidR="003C49DF" w:rsidRPr="00565F4A" w:rsidRDefault="003C49DF" w:rsidP="00DB11E2">
            <w:r w:rsidRPr="00565F4A">
              <w:t>Xu Environmental Consulting AB, Sweden</w:t>
            </w:r>
          </w:p>
          <w:p w14:paraId="17F458CA" w14:textId="39E3A12F" w:rsidR="003C49DF" w:rsidRPr="00565F4A" w:rsidRDefault="003C49DF" w:rsidP="00DB11E2">
            <w:r w:rsidRPr="00565F4A">
              <w:t xml:space="preserve">Email: </w:t>
            </w:r>
            <w:hyperlink r:id="rId11" w:history="1">
              <w:r w:rsidR="00DB11E2" w:rsidRPr="00565F4A">
                <w:rPr>
                  <w:rStyle w:val="Hyperlink"/>
                </w:rPr>
                <w:t>shulan@xuec.se</w:t>
              </w:r>
            </w:hyperlink>
          </w:p>
          <w:p w14:paraId="0223D0BE" w14:textId="380B23DC" w:rsidR="00DB11E2" w:rsidRPr="00240F6F" w:rsidRDefault="00DB11E2" w:rsidP="00DB11E2">
            <w:pPr>
              <w:rPr>
                <w:sz w:val="28"/>
                <w:szCs w:val="28"/>
              </w:rPr>
            </w:pPr>
          </w:p>
        </w:tc>
      </w:tr>
      <w:tr w:rsidR="00D66730" w:rsidRPr="00D66730" w14:paraId="336BE7D3" w14:textId="77777777" w:rsidTr="00A8741E">
        <w:trPr>
          <w:trHeight w:val="1160"/>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42FB77F8" w14:textId="77777777" w:rsidR="00240F6F" w:rsidRPr="00FE0918" w:rsidRDefault="00240F6F" w:rsidP="00565F4A">
            <w:pPr>
              <w:autoSpaceDE w:val="0"/>
              <w:autoSpaceDN w:val="0"/>
              <w:adjustRightInd w:val="0"/>
              <w:jc w:val="both"/>
            </w:pPr>
            <w:r w:rsidRPr="00FE0918">
              <w:t xml:space="preserve">In the last ten years, several site-specific </w:t>
            </w:r>
            <w:r>
              <w:t xml:space="preserve">post-closure </w:t>
            </w:r>
            <w:r w:rsidRPr="00FE0918">
              <w:t xml:space="preserve">safety assessments in support of geological disposal of spent nuclear fuel and low and intermediate level radioactive waste have been submitted for regulatory review in, for example, Sweden, </w:t>
            </w:r>
            <w:proofErr w:type="gramStart"/>
            <w:r w:rsidRPr="00FE0918">
              <w:t>Finland</w:t>
            </w:r>
            <w:proofErr w:type="gramEnd"/>
            <w:r w:rsidRPr="00FE0918">
              <w:t xml:space="preserve"> and France. From a regulatory point of view, as </w:t>
            </w:r>
            <w:r>
              <w:t xml:space="preserve">such </w:t>
            </w:r>
            <w:r w:rsidRPr="00FE0918">
              <w:t xml:space="preserve">assessments move towards being more complex, </w:t>
            </w:r>
            <w:proofErr w:type="spellStart"/>
            <w:r w:rsidRPr="00FE0918">
              <w:t>ie</w:t>
            </w:r>
            <w:proofErr w:type="spellEnd"/>
            <w:r w:rsidRPr="00FE0918">
              <w:t xml:space="preserve">, as site understanding develops, a greater emphasis is required to justify the degree of complexity in the assessment models in relation to their robustness and transparency. It is fundamental that the target audience, including regulatory bodies, the </w:t>
            </w:r>
            <w:proofErr w:type="gramStart"/>
            <w:r w:rsidRPr="00FE0918">
              <w:t>general public</w:t>
            </w:r>
            <w:proofErr w:type="gramEnd"/>
            <w:r w:rsidRPr="00FE0918">
              <w:t xml:space="preserve"> and decision makers, understand the approach that is used in the safety assessment. Experience from regulatory reviews of earlier safety assessments have shown that independent modelling is an effective way to provide valuable insights and understanding of the methodology </w:t>
            </w:r>
            <w:r>
              <w:t xml:space="preserve">and </w:t>
            </w:r>
            <w:r w:rsidRPr="00FE0918">
              <w:t xml:space="preserve">calculations presented by the applicant. </w:t>
            </w:r>
          </w:p>
          <w:p w14:paraId="44364347" w14:textId="77777777" w:rsidR="00240F6F" w:rsidRPr="00FE0918" w:rsidRDefault="00240F6F" w:rsidP="00565F4A">
            <w:pPr>
              <w:autoSpaceDE w:val="0"/>
              <w:autoSpaceDN w:val="0"/>
              <w:adjustRightInd w:val="0"/>
              <w:jc w:val="both"/>
            </w:pPr>
          </w:p>
          <w:p w14:paraId="70BFE0FE" w14:textId="77777777" w:rsidR="00240F6F" w:rsidRPr="00FE0918" w:rsidRDefault="00240F6F" w:rsidP="00565F4A">
            <w:pPr>
              <w:autoSpaceDE w:val="0"/>
              <w:autoSpaceDN w:val="0"/>
              <w:adjustRightInd w:val="0"/>
              <w:jc w:val="both"/>
            </w:pPr>
            <w:r w:rsidRPr="00FE0918">
              <w:t xml:space="preserve">In this paper, we focus on the biosphere component that is a key part of the overall </w:t>
            </w:r>
            <w:r>
              <w:t xml:space="preserve">post-closure </w:t>
            </w:r>
            <w:r w:rsidRPr="00FE0918">
              <w:t>safety assessment for understanding potential radiological consequences to humans and to the environment. The biosphere model in post-closure safety assessments translate</w:t>
            </w:r>
            <w:r>
              <w:t>s</w:t>
            </w:r>
            <w:r w:rsidRPr="00FE0918">
              <w:t xml:space="preserve"> calculated radionuclide releases into expressions of radiological dose or risk that are used to determine compliance with regulatory criteria. </w:t>
            </w:r>
          </w:p>
          <w:p w14:paraId="0C276730" w14:textId="77777777" w:rsidR="00240F6F" w:rsidRPr="00FE0918" w:rsidRDefault="00240F6F" w:rsidP="00565F4A">
            <w:pPr>
              <w:autoSpaceDE w:val="0"/>
              <w:autoSpaceDN w:val="0"/>
              <w:adjustRightInd w:val="0"/>
              <w:jc w:val="both"/>
              <w:rPr>
                <w:rFonts w:cstheme="minorHAnsi"/>
              </w:rPr>
            </w:pPr>
          </w:p>
          <w:p w14:paraId="5EAE5A1A" w14:textId="77777777" w:rsidR="00240F6F" w:rsidRPr="00FE0918" w:rsidRDefault="00240F6F" w:rsidP="00565F4A">
            <w:pPr>
              <w:autoSpaceDE w:val="0"/>
              <w:autoSpaceDN w:val="0"/>
              <w:adjustRightInd w:val="0"/>
              <w:jc w:val="both"/>
            </w:pPr>
            <w:r w:rsidRPr="00FE0918">
              <w:t xml:space="preserve">SSM has financed a study that has been performed in five different Swedish catchments, each with </w:t>
            </w:r>
            <w:proofErr w:type="gramStart"/>
            <w:r w:rsidRPr="00FE0918">
              <w:t>a number of</w:t>
            </w:r>
            <w:proofErr w:type="gramEnd"/>
            <w:r w:rsidRPr="00FE0918">
              <w:t xml:space="preserve"> streams, </w:t>
            </w:r>
            <w:r>
              <w:t>designed to investigate</w:t>
            </w:r>
            <w:r w:rsidRPr="00FE0918">
              <w:t xml:space="preserve"> how groundwater flow and hyporheic exchange flow interactions vary between and within catchments</w:t>
            </w:r>
            <w:r>
              <w:t>,</w:t>
            </w:r>
            <w:r w:rsidRPr="00FE0918">
              <w:t xml:space="preserve"> </w:t>
            </w:r>
            <w:r>
              <w:t xml:space="preserve">as well as </w:t>
            </w:r>
            <w:r w:rsidRPr="00FE0918">
              <w:t xml:space="preserve">how these interactions are controlled by </w:t>
            </w:r>
            <w:bookmarkStart w:id="0" w:name="_Hlk105935003"/>
            <w:r w:rsidRPr="00FE0918">
              <w:t xml:space="preserve">specific </w:t>
            </w:r>
            <w:proofErr w:type="spellStart"/>
            <w:r w:rsidRPr="00FE0918">
              <w:t>hydromorphological</w:t>
            </w:r>
            <w:proofErr w:type="spellEnd"/>
            <w:r w:rsidRPr="00FE0918">
              <w:t xml:space="preserve"> and geographical catchment and stream characteristics</w:t>
            </w:r>
            <w:bookmarkEnd w:id="0"/>
            <w:r w:rsidRPr="00FE0918">
              <w:t xml:space="preserve">. The aim of the study is to develop alternative approaches and assessment models that can be used for independent modelling in support of regulatory review. </w:t>
            </w:r>
          </w:p>
          <w:p w14:paraId="61C38417" w14:textId="77777777" w:rsidR="00240F6F" w:rsidRPr="00FE0918" w:rsidRDefault="00240F6F" w:rsidP="00565F4A">
            <w:pPr>
              <w:autoSpaceDE w:val="0"/>
              <w:autoSpaceDN w:val="0"/>
              <w:adjustRightInd w:val="0"/>
              <w:jc w:val="both"/>
            </w:pPr>
          </w:p>
          <w:p w14:paraId="6667B3DC" w14:textId="2590873E" w:rsidR="00D66730" w:rsidRPr="00240F6F" w:rsidRDefault="00240F6F" w:rsidP="00565F4A">
            <w:pPr>
              <w:autoSpaceDE w:val="0"/>
              <w:autoSpaceDN w:val="0"/>
              <w:adjustRightInd w:val="0"/>
              <w:jc w:val="both"/>
            </w:pPr>
            <w:r w:rsidRPr="00FE0918">
              <w:t>The study shows that hyporheic exchange flow can reduce the groundwater upwelling area and increase the upwelling velocity in areas closest to the streambed</w:t>
            </w:r>
            <w:r>
              <w:t>-</w:t>
            </w:r>
            <w:r w:rsidRPr="00FE0918">
              <w:t>water interface. The strong convergence of groundwater discharge causes fragmentation forming narrow “hotspot</w:t>
            </w:r>
            <w:r>
              <w:t>s</w:t>
            </w:r>
            <w:r w:rsidRPr="00FE0918">
              <w:t xml:space="preserve">” penetrating through the more spatially extended and intense hyporheic flow zone. In this paper, we describe modelling and tracer tests performed in the study. Further, we use methods based on the findings obtained from the study, to identify biosphere dose objects and to develop stream and lake </w:t>
            </w:r>
            <w:r w:rsidRPr="00FE0918">
              <w:lastRenderedPageBreak/>
              <w:t xml:space="preserve">models for </w:t>
            </w:r>
            <w:r>
              <w:t xml:space="preserve">the </w:t>
            </w:r>
            <w:r w:rsidRPr="00FE0918">
              <w:t>biosphere assessment as well as analys</w:t>
            </w:r>
            <w:r>
              <w:t>ing</w:t>
            </w:r>
            <w:r w:rsidRPr="00FE0918">
              <w:t xml:space="preserve"> the effect of </w:t>
            </w:r>
            <w:r>
              <w:t xml:space="preserve">the </w:t>
            </w:r>
            <w:r w:rsidRPr="00FE0918">
              <w:t>“hotspot</w:t>
            </w:r>
            <w:r>
              <w:t>s</w:t>
            </w:r>
            <w:r w:rsidRPr="00FE0918">
              <w:t xml:space="preserve">” on </w:t>
            </w:r>
            <w:r>
              <w:t xml:space="preserve">the </w:t>
            </w:r>
            <w:r w:rsidRPr="00FE0918">
              <w:t xml:space="preserve">redistribution of releases </w:t>
            </w:r>
            <w:r>
              <w:t>in the</w:t>
            </w:r>
            <w:r w:rsidRPr="00FE0918">
              <w:t xml:space="preserve"> surface environment. These methods are being used in STUK’s independent </w:t>
            </w:r>
            <w:r>
              <w:t xml:space="preserve">biosphere </w:t>
            </w:r>
            <w:r w:rsidRPr="00FE0918">
              <w:t xml:space="preserve">modelling activities </w:t>
            </w:r>
            <w:r>
              <w:t xml:space="preserve">in </w:t>
            </w:r>
            <w:r w:rsidRPr="00FE0918">
              <w:t xml:space="preserve">support </w:t>
            </w:r>
            <w:r>
              <w:t xml:space="preserve">of </w:t>
            </w:r>
            <w:r w:rsidRPr="00FE0918">
              <w:t xml:space="preserve">its on-going review of the post-closure safety assessment associated with the operational licence application for the </w:t>
            </w:r>
            <w:proofErr w:type="spellStart"/>
            <w:r w:rsidRPr="00FE0918">
              <w:t>Olkiluoto</w:t>
            </w:r>
            <w:proofErr w:type="spellEnd"/>
            <w:r w:rsidRPr="00FE0918">
              <w:t xml:space="preserve"> spent nuclear fuel repository.</w:t>
            </w:r>
          </w:p>
        </w:tc>
      </w:tr>
    </w:tbl>
    <w:p w14:paraId="3DB85F1E" w14:textId="77777777" w:rsidR="00ED483F" w:rsidRPr="00F43DC7" w:rsidRDefault="00ED483F" w:rsidP="00C60BC5">
      <w:pPr>
        <w:spacing w:after="0" w:line="240" w:lineRule="auto"/>
        <w:ind w:right="-188"/>
        <w:rPr>
          <w:rFonts w:cstheme="minorHAnsi"/>
          <w:b/>
          <w:color w:val="EEECE1" w:themeColor="background2"/>
          <w:lang w:val="de-DE" w:eastAsia="ja-JP"/>
        </w:rPr>
      </w:pPr>
    </w:p>
    <w:sectPr w:rsidR="00ED483F" w:rsidRPr="00F43DC7" w:rsidSect="003C780E">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30DD" w14:textId="77777777" w:rsidR="002A4F56" w:rsidRDefault="002A4F56" w:rsidP="00AF3942">
      <w:pPr>
        <w:spacing w:after="0" w:line="240" w:lineRule="auto"/>
      </w:pPr>
      <w:r>
        <w:separator/>
      </w:r>
    </w:p>
  </w:endnote>
  <w:endnote w:type="continuationSeparator" w:id="0">
    <w:p w14:paraId="0BA4C075" w14:textId="77777777" w:rsidR="002A4F56" w:rsidRDefault="002A4F5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68EA" w14:textId="77777777" w:rsidR="002A4F56" w:rsidRDefault="002A4F56" w:rsidP="00AF3942">
      <w:pPr>
        <w:spacing w:after="0" w:line="240" w:lineRule="auto"/>
      </w:pPr>
      <w:r>
        <w:separator/>
      </w:r>
    </w:p>
  </w:footnote>
  <w:footnote w:type="continuationSeparator" w:id="0">
    <w:p w14:paraId="11AECCB8" w14:textId="77777777" w:rsidR="002A4F56" w:rsidRDefault="002A4F56"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07342"/>
    <w:multiLevelType w:val="hybridMultilevel"/>
    <w:tmpl w:val="E766F1C8"/>
    <w:lvl w:ilvl="0" w:tplc="742AD2EA">
      <w:start w:val="1"/>
      <w:numFmt w:val="decimal"/>
      <w:lvlText w:val="%1."/>
      <w:lvlJc w:val="left"/>
      <w:pPr>
        <w:ind w:left="644" w:hanging="360"/>
      </w:pPr>
      <w:rPr>
        <w:rFonts w:hint="default"/>
      </w:rPr>
    </w:lvl>
    <w:lvl w:ilvl="1" w:tplc="041D0019" w:tentative="1">
      <w:start w:val="1"/>
      <w:numFmt w:val="lowerLetter"/>
      <w:lvlText w:val="%2."/>
      <w:lvlJc w:val="left"/>
      <w:pPr>
        <w:ind w:left="1364" w:hanging="360"/>
      </w:pPr>
    </w:lvl>
    <w:lvl w:ilvl="2" w:tplc="041D001B" w:tentative="1">
      <w:start w:val="1"/>
      <w:numFmt w:val="lowerRoman"/>
      <w:lvlText w:val="%3."/>
      <w:lvlJc w:val="right"/>
      <w:pPr>
        <w:ind w:left="2084" w:hanging="180"/>
      </w:pPr>
    </w:lvl>
    <w:lvl w:ilvl="3" w:tplc="041D000F" w:tentative="1">
      <w:start w:val="1"/>
      <w:numFmt w:val="decimal"/>
      <w:lvlText w:val="%4."/>
      <w:lvlJc w:val="left"/>
      <w:pPr>
        <w:ind w:left="2804" w:hanging="360"/>
      </w:pPr>
    </w:lvl>
    <w:lvl w:ilvl="4" w:tplc="041D0019" w:tentative="1">
      <w:start w:val="1"/>
      <w:numFmt w:val="lowerLetter"/>
      <w:lvlText w:val="%5."/>
      <w:lvlJc w:val="left"/>
      <w:pPr>
        <w:ind w:left="3524" w:hanging="360"/>
      </w:pPr>
    </w:lvl>
    <w:lvl w:ilvl="5" w:tplc="041D001B" w:tentative="1">
      <w:start w:val="1"/>
      <w:numFmt w:val="lowerRoman"/>
      <w:lvlText w:val="%6."/>
      <w:lvlJc w:val="right"/>
      <w:pPr>
        <w:ind w:left="4244" w:hanging="180"/>
      </w:pPr>
    </w:lvl>
    <w:lvl w:ilvl="6" w:tplc="041D000F" w:tentative="1">
      <w:start w:val="1"/>
      <w:numFmt w:val="decimal"/>
      <w:lvlText w:val="%7."/>
      <w:lvlJc w:val="left"/>
      <w:pPr>
        <w:ind w:left="4964" w:hanging="360"/>
      </w:pPr>
    </w:lvl>
    <w:lvl w:ilvl="7" w:tplc="041D0019" w:tentative="1">
      <w:start w:val="1"/>
      <w:numFmt w:val="lowerLetter"/>
      <w:lvlText w:val="%8."/>
      <w:lvlJc w:val="left"/>
      <w:pPr>
        <w:ind w:left="5684" w:hanging="360"/>
      </w:pPr>
    </w:lvl>
    <w:lvl w:ilvl="8" w:tplc="041D001B" w:tentative="1">
      <w:start w:val="1"/>
      <w:numFmt w:val="lowerRoman"/>
      <w:lvlText w:val="%9."/>
      <w:lvlJc w:val="right"/>
      <w:pPr>
        <w:ind w:left="6404" w:hanging="180"/>
      </w:p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2"/>
  </w:num>
  <w:num w:numId="2" w16cid:durableId="1627541623">
    <w:abstractNumId w:val="1"/>
  </w:num>
  <w:num w:numId="3" w16cid:durableId="612253574">
    <w:abstractNumId w:val="3"/>
  </w:num>
  <w:num w:numId="4" w16cid:durableId="1535994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74F32"/>
    <w:rsid w:val="000B3A01"/>
    <w:rsid w:val="000D5735"/>
    <w:rsid w:val="001215B8"/>
    <w:rsid w:val="00240F6F"/>
    <w:rsid w:val="0024518F"/>
    <w:rsid w:val="00285532"/>
    <w:rsid w:val="002A4F56"/>
    <w:rsid w:val="002B0699"/>
    <w:rsid w:val="002C48DA"/>
    <w:rsid w:val="003A7324"/>
    <w:rsid w:val="003C49DF"/>
    <w:rsid w:val="003C780E"/>
    <w:rsid w:val="003D3EB5"/>
    <w:rsid w:val="003D606A"/>
    <w:rsid w:val="005108FA"/>
    <w:rsid w:val="005208E7"/>
    <w:rsid w:val="00565F4A"/>
    <w:rsid w:val="0067177D"/>
    <w:rsid w:val="0077682E"/>
    <w:rsid w:val="007E39C3"/>
    <w:rsid w:val="009249FD"/>
    <w:rsid w:val="009C3C04"/>
    <w:rsid w:val="00A8741E"/>
    <w:rsid w:val="00AF3942"/>
    <w:rsid w:val="00B22E8F"/>
    <w:rsid w:val="00C60BC5"/>
    <w:rsid w:val="00CD5585"/>
    <w:rsid w:val="00D66730"/>
    <w:rsid w:val="00D7639A"/>
    <w:rsid w:val="00DB11E2"/>
    <w:rsid w:val="00DB6830"/>
    <w:rsid w:val="00ED483F"/>
    <w:rsid w:val="00F43DC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074F32"/>
    <w:rPr>
      <w:sz w:val="16"/>
      <w:szCs w:val="16"/>
    </w:rPr>
  </w:style>
  <w:style w:type="paragraph" w:styleId="CommentText">
    <w:name w:val="annotation text"/>
    <w:basedOn w:val="Normal"/>
    <w:link w:val="CommentTextChar"/>
    <w:uiPriority w:val="99"/>
    <w:unhideWhenUsed/>
    <w:rsid w:val="00074F32"/>
    <w:pPr>
      <w:spacing w:line="240" w:lineRule="auto"/>
    </w:pPr>
    <w:rPr>
      <w:sz w:val="20"/>
      <w:szCs w:val="20"/>
    </w:rPr>
  </w:style>
  <w:style w:type="character" w:customStyle="1" w:styleId="CommentTextChar">
    <w:name w:val="Comment Text Char"/>
    <w:basedOn w:val="DefaultParagraphFont"/>
    <w:link w:val="CommentText"/>
    <w:uiPriority w:val="99"/>
    <w:rsid w:val="00074F32"/>
    <w:rPr>
      <w:sz w:val="20"/>
      <w:szCs w:val="20"/>
    </w:rPr>
  </w:style>
  <w:style w:type="paragraph" w:styleId="CommentSubject">
    <w:name w:val="annotation subject"/>
    <w:basedOn w:val="CommentText"/>
    <w:next w:val="CommentText"/>
    <w:link w:val="CommentSubjectChar"/>
    <w:uiPriority w:val="99"/>
    <w:semiHidden/>
    <w:unhideWhenUsed/>
    <w:rsid w:val="00074F32"/>
    <w:rPr>
      <w:b/>
      <w:bCs/>
    </w:rPr>
  </w:style>
  <w:style w:type="character" w:customStyle="1" w:styleId="CommentSubjectChar">
    <w:name w:val="Comment Subject Char"/>
    <w:basedOn w:val="CommentTextChar"/>
    <w:link w:val="CommentSubject"/>
    <w:uiPriority w:val="99"/>
    <w:semiHidden/>
    <w:rsid w:val="00074F32"/>
    <w:rPr>
      <w:b/>
      <w:bCs/>
      <w:sz w:val="20"/>
      <w:szCs w:val="20"/>
    </w:rPr>
  </w:style>
  <w:style w:type="character" w:customStyle="1" w:styleId="cf01">
    <w:name w:val="cf01"/>
    <w:basedOn w:val="DefaultParagraphFont"/>
    <w:rsid w:val="00F43DC7"/>
    <w:rPr>
      <w:rFonts w:ascii="Segoe UI" w:hAnsi="Segoe UI" w:cs="Segoe UI" w:hint="default"/>
      <w:sz w:val="18"/>
      <w:szCs w:val="18"/>
    </w:rPr>
  </w:style>
  <w:style w:type="character" w:styleId="Hyperlink">
    <w:name w:val="Hyperlink"/>
    <w:basedOn w:val="DefaultParagraphFont"/>
    <w:uiPriority w:val="99"/>
    <w:unhideWhenUsed/>
    <w:rsid w:val="00DB11E2"/>
    <w:rPr>
      <w:color w:val="0000FF" w:themeColor="hyperlink"/>
      <w:u w:val="single"/>
    </w:rPr>
  </w:style>
  <w:style w:type="character" w:styleId="UnresolvedMention">
    <w:name w:val="Unresolved Mention"/>
    <w:basedOn w:val="DefaultParagraphFont"/>
    <w:uiPriority w:val="99"/>
    <w:semiHidden/>
    <w:unhideWhenUsed/>
    <w:rsid w:val="00DB1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ulan@xuec.s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4F00-F4C1-46A4-8302-B2C8CA1068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08F02C-9151-4CA8-A034-E63B7B4B6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43C30-BCA6-46D7-A1A3-BF094062AC21}">
  <ds:schemaRefs>
    <ds:schemaRef ds:uri="http://schemas.microsoft.com/sharepoint/v3/contenttype/form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524</Words>
  <Characters>3122</Characters>
  <Application>Microsoft Office Word</Application>
  <DocSecurity>0</DocSecurity>
  <Lines>57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6</cp:revision>
  <dcterms:created xsi:type="dcterms:W3CDTF">2024-05-08T12:30:00Z</dcterms:created>
  <dcterms:modified xsi:type="dcterms:W3CDTF">2024-05-20T11:47:00Z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