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CC7F9"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2C5087F4" w14:textId="77777777" w:rsidR="009249FD" w:rsidRDefault="009249FD" w:rsidP="00ED483F">
      <w:pPr>
        <w:spacing w:after="0" w:line="240" w:lineRule="auto"/>
        <w:ind w:right="-188"/>
        <w:jc w:val="center"/>
        <w:rPr>
          <w:rFonts w:asciiTheme="majorHAnsi" w:hAnsiTheme="majorHAnsi"/>
          <w:b/>
        </w:rPr>
      </w:pPr>
    </w:p>
    <w:p w14:paraId="287C7615" w14:textId="77777777" w:rsidR="00ED483F" w:rsidRPr="00AF3942"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16"/>
        <w:gridCol w:w="4500"/>
      </w:tblGrid>
      <w:tr w:rsidR="00ED483F" w:rsidRPr="00AF3942" w14:paraId="0F2720A1" w14:textId="77777777" w:rsidTr="7B4EA8A1">
        <w:tc>
          <w:tcPr>
            <w:tcW w:w="4583" w:type="dxa"/>
          </w:tcPr>
          <w:p w14:paraId="49CAC052" w14:textId="6521A0E4" w:rsidR="00ED483F" w:rsidRPr="00AF3942" w:rsidRDefault="00ED483F" w:rsidP="00C60BC5">
            <w:pPr>
              <w:spacing w:before="60" w:after="60"/>
              <w:ind w:right="-187"/>
              <w:rPr>
                <w:rFonts w:cstheme="minorHAnsi"/>
                <w:b/>
              </w:rPr>
            </w:pPr>
            <w:r w:rsidRPr="00AF3942">
              <w:rPr>
                <w:rFonts w:cstheme="minorHAnsi"/>
                <w:b/>
              </w:rPr>
              <w:t>Abstract Number</w:t>
            </w:r>
            <w:r w:rsidR="00AF3942">
              <w:rPr>
                <w:rFonts w:cstheme="minorHAnsi" w:hint="eastAsia"/>
                <w:b/>
                <w:lang w:eastAsia="ja-JP"/>
              </w:rPr>
              <w:t>:</w:t>
            </w:r>
            <w:r w:rsidR="00285532" w:rsidRPr="00AF3942">
              <w:rPr>
                <w:rFonts w:cstheme="minorHAnsi"/>
                <w:b/>
                <w:lang w:eastAsia="ja-JP"/>
              </w:rPr>
              <w:t xml:space="preserve">  </w:t>
            </w:r>
            <w:r w:rsidR="00CF169C">
              <w:rPr>
                <w:rFonts w:cstheme="minorHAnsi" w:hint="eastAsia"/>
                <w:b/>
                <w:lang w:eastAsia="zh-CN"/>
              </w:rPr>
              <w:t>22</w:t>
            </w:r>
            <w:r w:rsidRPr="00AF3942">
              <w:rPr>
                <w:rFonts w:cstheme="minorHAnsi"/>
                <w:b/>
              </w:rPr>
              <w:t xml:space="preserve">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p>
        </w:tc>
        <w:tc>
          <w:tcPr>
            <w:tcW w:w="4583" w:type="dxa"/>
          </w:tcPr>
          <w:p w14:paraId="0240E894" w14:textId="67823C4E" w:rsidR="00ED483F" w:rsidRPr="00AF3942" w:rsidRDefault="000B0E1A" w:rsidP="00AF3942">
            <w:pPr>
              <w:spacing w:before="60" w:after="60"/>
              <w:ind w:right="-187"/>
              <w:rPr>
                <w:rFonts w:cstheme="minorHAnsi"/>
                <w:b/>
                <w:lang w:eastAsia="ja-JP"/>
              </w:rPr>
            </w:pPr>
            <w:r>
              <w:rPr>
                <w:rFonts w:cstheme="minorHAnsi"/>
                <w:b/>
                <w:lang w:eastAsia="ja-JP"/>
              </w:rPr>
              <w:t>Poster P7.1.7</w:t>
            </w:r>
          </w:p>
        </w:tc>
      </w:tr>
      <w:tr w:rsidR="00ED483F" w:rsidRPr="00E60D64" w14:paraId="1BD80930" w14:textId="77777777" w:rsidTr="7B4EA8A1">
        <w:trPr>
          <w:trHeight w:val="461"/>
        </w:trPr>
        <w:tc>
          <w:tcPr>
            <w:tcW w:w="9166" w:type="dxa"/>
            <w:gridSpan w:val="2"/>
          </w:tcPr>
          <w:p w14:paraId="6B1B7011" w14:textId="77777777" w:rsidR="00C60BC5" w:rsidRPr="004E14D9" w:rsidRDefault="00ED483F" w:rsidP="00C60BC5">
            <w:pPr>
              <w:spacing w:before="60" w:after="60"/>
              <w:ind w:right="-187"/>
              <w:rPr>
                <w:rFonts w:cstheme="minorHAnsi"/>
                <w:b/>
                <w:lang w:val="en-US" w:eastAsia="ja-JP"/>
              </w:rPr>
            </w:pPr>
            <w:r w:rsidRPr="004E14D9">
              <w:rPr>
                <w:rFonts w:cstheme="minorHAnsi"/>
                <w:b/>
                <w:lang w:val="en-US"/>
              </w:rPr>
              <w:t>Author</w:t>
            </w:r>
            <w:r w:rsidR="00AF3942" w:rsidRPr="004E14D9">
              <w:rPr>
                <w:rFonts w:cstheme="minorHAnsi"/>
                <w:b/>
                <w:lang w:val="en-US" w:eastAsia="ja-JP"/>
              </w:rPr>
              <w:t>:</w:t>
            </w:r>
          </w:p>
          <w:p w14:paraId="16A73A22" w14:textId="0CA93AFD" w:rsidR="00AF3942" w:rsidRDefault="002C5CFB" w:rsidP="0AB0D0C6">
            <w:pPr>
              <w:spacing w:before="60" w:after="60"/>
              <w:ind w:right="-187"/>
              <w:rPr>
                <w:lang w:val="en-US" w:eastAsia="ja-JP"/>
              </w:rPr>
            </w:pPr>
            <w:r w:rsidRPr="00F36B37">
              <w:rPr>
                <w:lang w:val="en-US" w:eastAsia="ja-JP"/>
              </w:rPr>
              <w:t xml:space="preserve">L. </w:t>
            </w:r>
            <w:proofErr w:type="gramStart"/>
            <w:r w:rsidRPr="00F36B37">
              <w:rPr>
                <w:lang w:val="en-US" w:eastAsia="ja-JP"/>
              </w:rPr>
              <w:t>Ba</w:t>
            </w:r>
            <w:r w:rsidR="00A84503" w:rsidRPr="00F36B37">
              <w:rPr>
                <w:lang w:val="en-US" w:eastAsia="ja-JP"/>
              </w:rPr>
              <w:t>i</w:t>
            </w:r>
            <w:r w:rsidRPr="00F36B37">
              <w:rPr>
                <w:lang w:val="en-US" w:eastAsia="ja-JP"/>
              </w:rPr>
              <w:t>le</w:t>
            </w:r>
            <w:r w:rsidR="75903DFA" w:rsidRPr="00F36B37">
              <w:rPr>
                <w:lang w:val="en-US" w:eastAsia="ja-JP"/>
              </w:rPr>
              <w:t>y</w:t>
            </w:r>
            <w:r w:rsidR="00D67BF3" w:rsidRPr="005B687E">
              <w:rPr>
                <w:vertAlign w:val="superscript"/>
                <w:lang w:val="en-US" w:eastAsia="ja-JP"/>
              </w:rPr>
              <w:t>(</w:t>
            </w:r>
            <w:proofErr w:type="gramEnd"/>
            <w:r w:rsidR="00D67BF3">
              <w:rPr>
                <w:vertAlign w:val="superscript"/>
                <w:lang w:val="en-US" w:eastAsia="ja-JP"/>
              </w:rPr>
              <w:t>1</w:t>
            </w:r>
            <w:r w:rsidR="00D67BF3" w:rsidRPr="005B687E">
              <w:rPr>
                <w:vertAlign w:val="superscript"/>
                <w:lang w:val="en-US" w:eastAsia="ja-JP"/>
              </w:rPr>
              <w:t>)</w:t>
            </w:r>
            <w:r w:rsidRPr="00F36B37">
              <w:rPr>
                <w:lang w:val="en-US" w:eastAsia="ja-JP"/>
              </w:rPr>
              <w:t>, L. Gray</w:t>
            </w:r>
            <w:r w:rsidR="00D67BF3" w:rsidRPr="005B687E">
              <w:rPr>
                <w:vertAlign w:val="superscript"/>
                <w:lang w:val="en-US" w:eastAsia="ja-JP"/>
              </w:rPr>
              <w:t>(</w:t>
            </w:r>
            <w:r w:rsidR="00D67BF3">
              <w:rPr>
                <w:vertAlign w:val="superscript"/>
                <w:lang w:val="en-US" w:eastAsia="ja-JP"/>
              </w:rPr>
              <w:t>1</w:t>
            </w:r>
            <w:r w:rsidR="00D67BF3" w:rsidRPr="005B687E">
              <w:rPr>
                <w:vertAlign w:val="superscript"/>
                <w:lang w:val="en-US" w:eastAsia="ja-JP"/>
              </w:rPr>
              <w:t>)</w:t>
            </w:r>
            <w:r w:rsidRPr="00F36B37">
              <w:rPr>
                <w:lang w:val="en-US" w:eastAsia="ja-JP"/>
              </w:rPr>
              <w:t xml:space="preserve">, </w:t>
            </w:r>
            <w:r w:rsidR="004E14D9" w:rsidRPr="0AB0D0C6">
              <w:rPr>
                <w:b/>
                <w:bCs/>
                <w:lang w:val="en-US" w:eastAsia="ja-JP"/>
              </w:rPr>
              <w:t>T</w:t>
            </w:r>
            <w:r w:rsidRPr="0AB0D0C6">
              <w:rPr>
                <w:b/>
                <w:bCs/>
                <w:lang w:val="en-US" w:eastAsia="ja-JP"/>
              </w:rPr>
              <w:t xml:space="preserve">h. </w:t>
            </w:r>
            <w:r w:rsidR="004E14D9" w:rsidRPr="0AB0D0C6">
              <w:rPr>
                <w:b/>
                <w:bCs/>
                <w:lang w:val="en-US" w:eastAsia="ja-JP"/>
              </w:rPr>
              <w:t>U. Kaempfer</w:t>
            </w:r>
            <w:r w:rsidR="00A523B4" w:rsidRPr="005B687E">
              <w:rPr>
                <w:vertAlign w:val="superscript"/>
                <w:lang w:val="en-US" w:eastAsia="ja-JP"/>
              </w:rPr>
              <w:t>(2)</w:t>
            </w:r>
            <w:r w:rsidRPr="00F36B37">
              <w:rPr>
                <w:lang w:val="en-US" w:eastAsia="ja-JP"/>
              </w:rPr>
              <w:t xml:space="preserve">, </w:t>
            </w:r>
            <w:r w:rsidR="00261A69" w:rsidRPr="00F36B37">
              <w:rPr>
                <w:lang w:val="en-US" w:eastAsia="ja-JP"/>
              </w:rPr>
              <w:t>and S. Voinis</w:t>
            </w:r>
            <w:r w:rsidR="00D67BF3" w:rsidRPr="005B687E">
              <w:rPr>
                <w:vertAlign w:val="superscript"/>
                <w:lang w:val="en-US" w:eastAsia="ja-JP"/>
              </w:rPr>
              <w:t>(</w:t>
            </w:r>
            <w:r w:rsidR="00D67BF3">
              <w:rPr>
                <w:vertAlign w:val="superscript"/>
                <w:lang w:val="en-US" w:eastAsia="ja-JP"/>
              </w:rPr>
              <w:t>3</w:t>
            </w:r>
            <w:r w:rsidR="00D67BF3" w:rsidRPr="005B687E">
              <w:rPr>
                <w:vertAlign w:val="superscript"/>
                <w:lang w:val="en-US" w:eastAsia="ja-JP"/>
              </w:rPr>
              <w:t>)</w:t>
            </w:r>
          </w:p>
          <w:p w14:paraId="059AEC74" w14:textId="77777777" w:rsidR="00A05E4C" w:rsidRDefault="00A05E4C" w:rsidP="0AB0D0C6">
            <w:pPr>
              <w:spacing w:before="60" w:after="60"/>
              <w:ind w:right="-187"/>
              <w:rPr>
                <w:lang w:val="en-US" w:eastAsia="ja-JP"/>
              </w:rPr>
            </w:pPr>
          </w:p>
          <w:p w14:paraId="7DE65F92" w14:textId="64D01423" w:rsidR="00D67BF3" w:rsidRPr="00B820DC" w:rsidRDefault="00D67BF3" w:rsidP="00D67BF3">
            <w:pPr>
              <w:spacing w:before="60" w:after="60"/>
              <w:ind w:right="-187"/>
              <w:rPr>
                <w:rFonts w:ascii="Arial" w:hAnsi="Arial" w:cs="Arial"/>
                <w:sz w:val="18"/>
                <w:szCs w:val="18"/>
                <w:lang w:val="en-US" w:eastAsia="ja-JP"/>
              </w:rPr>
            </w:pPr>
            <w:r w:rsidRPr="00B820DC">
              <w:rPr>
                <w:rFonts w:ascii="Arial" w:hAnsi="Arial" w:cs="Arial"/>
                <w:sz w:val="18"/>
                <w:szCs w:val="18"/>
                <w:vertAlign w:val="superscript"/>
                <w:lang w:val="en-US" w:eastAsia="ja-JP"/>
              </w:rPr>
              <w:t xml:space="preserve">(1) </w:t>
            </w:r>
            <w:r w:rsidR="00AA6CE9" w:rsidRPr="00B820DC">
              <w:rPr>
                <w:rFonts w:ascii="Arial" w:hAnsi="Arial" w:cs="Arial"/>
                <w:sz w:val="18"/>
                <w:szCs w:val="18"/>
                <w:lang w:val="en-US" w:eastAsia="ja-JP"/>
              </w:rPr>
              <w:t>Nuclear Waste Services, UK</w:t>
            </w:r>
            <w:r w:rsidR="005E0EE4" w:rsidRPr="00B820DC">
              <w:rPr>
                <w:rFonts w:ascii="Arial" w:hAnsi="Arial" w:cs="Arial"/>
                <w:sz w:val="18"/>
                <w:szCs w:val="18"/>
                <w:lang w:val="en-US" w:eastAsia="ja-JP"/>
              </w:rPr>
              <w:t xml:space="preserve">, </w:t>
            </w:r>
            <w:hyperlink r:id="rId11" w:history="1">
              <w:r w:rsidR="005E0EE4" w:rsidRPr="00B820DC">
                <w:rPr>
                  <w:rStyle w:val="Hyperlink"/>
                  <w:rFonts w:ascii="Arial" w:hAnsi="Arial" w:cs="Arial"/>
                  <w:sz w:val="18"/>
                  <w:szCs w:val="18"/>
                  <w:lang w:val="en-US" w:eastAsia="ja-JP"/>
                </w:rPr>
                <w:t>lucy.bailey@nuclearwasteservices.uk</w:t>
              </w:r>
            </w:hyperlink>
            <w:r w:rsidR="005E0EE4" w:rsidRPr="00B820DC">
              <w:rPr>
                <w:rFonts w:ascii="Arial" w:hAnsi="Arial" w:cs="Arial"/>
                <w:sz w:val="18"/>
                <w:szCs w:val="18"/>
                <w:lang w:val="en-US" w:eastAsia="ja-JP"/>
              </w:rPr>
              <w:t xml:space="preserve">, </w:t>
            </w:r>
            <w:hyperlink r:id="rId12" w:history="1">
              <w:r w:rsidR="005E0EE4" w:rsidRPr="00B820DC">
                <w:rPr>
                  <w:rStyle w:val="Hyperlink"/>
                  <w:rFonts w:ascii="Arial" w:hAnsi="Arial" w:cs="Arial"/>
                  <w:sz w:val="18"/>
                  <w:szCs w:val="18"/>
                  <w:lang w:val="en-US" w:eastAsia="ja-JP"/>
                </w:rPr>
                <w:t>lucia.gray@nuclearwasteservices.uk</w:t>
              </w:r>
            </w:hyperlink>
            <w:r w:rsidR="005E0EE4" w:rsidRPr="00B820DC">
              <w:rPr>
                <w:rFonts w:ascii="Arial" w:hAnsi="Arial" w:cs="Arial"/>
                <w:sz w:val="18"/>
                <w:szCs w:val="18"/>
                <w:lang w:val="en-US" w:eastAsia="ja-JP"/>
              </w:rPr>
              <w:t xml:space="preserve"> </w:t>
            </w:r>
          </w:p>
          <w:p w14:paraId="3322CD19" w14:textId="77777777" w:rsidR="00D67BF3" w:rsidRPr="00B820DC" w:rsidRDefault="00D67BF3" w:rsidP="00D67BF3">
            <w:pPr>
              <w:spacing w:before="60" w:after="60"/>
              <w:ind w:right="-187"/>
              <w:rPr>
                <w:rFonts w:ascii="Arial" w:hAnsi="Arial" w:cs="Arial"/>
                <w:sz w:val="18"/>
                <w:szCs w:val="18"/>
                <w:lang w:val="en-US" w:eastAsia="ja-JP"/>
              </w:rPr>
            </w:pPr>
            <w:r w:rsidRPr="00B820DC">
              <w:rPr>
                <w:rFonts w:ascii="Arial" w:hAnsi="Arial" w:cs="Arial"/>
                <w:sz w:val="18"/>
                <w:szCs w:val="18"/>
                <w:vertAlign w:val="superscript"/>
                <w:lang w:val="en-US" w:eastAsia="ja-JP"/>
              </w:rPr>
              <w:t xml:space="preserve">(2) </w:t>
            </w:r>
            <w:r w:rsidRPr="00B820DC">
              <w:rPr>
                <w:rFonts w:ascii="Arial" w:hAnsi="Arial" w:cs="Arial"/>
                <w:sz w:val="18"/>
                <w:szCs w:val="18"/>
                <w:lang w:val="en-US" w:eastAsia="ja-JP"/>
              </w:rPr>
              <w:t xml:space="preserve">OST </w:t>
            </w:r>
            <w:r w:rsidRPr="00B820DC">
              <w:rPr>
                <w:rFonts w:ascii="Arial" w:eastAsiaTheme="minorEastAsia" w:hAnsi="Arial" w:cs="Arial"/>
                <w:noProof/>
                <w:sz w:val="18"/>
                <w:szCs w:val="18"/>
                <w:lang w:val="en-US" w:eastAsia="de-CH"/>
              </w:rPr>
              <w:t xml:space="preserve">Eastern Switzerland University of Applied Sciences, Switzerland, </w:t>
            </w:r>
            <w:hyperlink r:id="rId13" w:history="1">
              <w:r w:rsidRPr="00B820DC">
                <w:rPr>
                  <w:rStyle w:val="Hyperlink"/>
                  <w:rFonts w:ascii="Arial" w:eastAsiaTheme="minorEastAsia" w:hAnsi="Arial" w:cs="Arial"/>
                  <w:noProof/>
                  <w:sz w:val="18"/>
                  <w:szCs w:val="18"/>
                  <w:lang w:val="en-US" w:eastAsia="de-CH"/>
                </w:rPr>
                <w:t>thomas.kaempfer@ost.ch</w:t>
              </w:r>
            </w:hyperlink>
          </w:p>
          <w:p w14:paraId="45F5B8BF" w14:textId="7D57CA0B" w:rsidR="00A05E4C" w:rsidRPr="00B820DC" w:rsidRDefault="00A05E4C" w:rsidP="0AB0D0C6">
            <w:pPr>
              <w:spacing w:before="60" w:after="60"/>
              <w:ind w:right="-187"/>
              <w:rPr>
                <w:rFonts w:ascii="Arial" w:hAnsi="Arial" w:cs="Arial"/>
                <w:sz w:val="18"/>
                <w:szCs w:val="18"/>
                <w:lang w:val="fr-FR" w:eastAsia="ja-JP"/>
              </w:rPr>
            </w:pPr>
            <w:r w:rsidRPr="00B820DC">
              <w:rPr>
                <w:rFonts w:ascii="Arial" w:hAnsi="Arial" w:cs="Arial"/>
                <w:sz w:val="18"/>
                <w:szCs w:val="18"/>
                <w:vertAlign w:val="superscript"/>
                <w:lang w:val="fr-FR" w:eastAsia="ja-JP"/>
              </w:rPr>
              <w:t>(</w:t>
            </w:r>
            <w:r w:rsidR="00D67BF3" w:rsidRPr="00B820DC">
              <w:rPr>
                <w:rFonts w:ascii="Arial" w:hAnsi="Arial" w:cs="Arial"/>
                <w:sz w:val="18"/>
                <w:szCs w:val="18"/>
                <w:vertAlign w:val="superscript"/>
                <w:lang w:val="fr-FR" w:eastAsia="ja-JP"/>
              </w:rPr>
              <w:t>3</w:t>
            </w:r>
            <w:r w:rsidRPr="00B820DC">
              <w:rPr>
                <w:rFonts w:ascii="Arial" w:hAnsi="Arial" w:cs="Arial"/>
                <w:sz w:val="18"/>
                <w:szCs w:val="18"/>
                <w:vertAlign w:val="superscript"/>
                <w:lang w:val="fr-FR" w:eastAsia="ja-JP"/>
              </w:rPr>
              <w:t xml:space="preserve">) </w:t>
            </w:r>
            <w:r w:rsidR="001A19DB" w:rsidRPr="00B820DC">
              <w:rPr>
                <w:rFonts w:ascii="Arial" w:hAnsi="Arial" w:cs="Arial"/>
                <w:sz w:val="18"/>
                <w:szCs w:val="18"/>
                <w:lang w:val="fr-FR" w:eastAsia="ja-JP"/>
              </w:rPr>
              <w:t>Andra, France</w:t>
            </w:r>
            <w:r w:rsidR="009A788A" w:rsidRPr="00B820DC">
              <w:rPr>
                <w:rFonts w:ascii="Arial" w:hAnsi="Arial" w:cs="Arial"/>
                <w:sz w:val="18"/>
                <w:szCs w:val="18"/>
                <w:lang w:val="fr-FR" w:eastAsia="ja-JP"/>
              </w:rPr>
              <w:t xml:space="preserve">, </w:t>
            </w:r>
            <w:hyperlink r:id="rId14" w:history="1">
              <w:r w:rsidR="009A788A" w:rsidRPr="00B820DC">
                <w:rPr>
                  <w:rStyle w:val="Hyperlink"/>
                  <w:rFonts w:ascii="Arial" w:hAnsi="Arial" w:cs="Arial"/>
                  <w:sz w:val="18"/>
                  <w:szCs w:val="18"/>
                  <w:lang w:val="fr-FR" w:eastAsia="ja-JP"/>
                </w:rPr>
                <w:t>sylvie.voinis@andra.fr</w:t>
              </w:r>
            </w:hyperlink>
            <w:r w:rsidR="009A788A" w:rsidRPr="00B820DC">
              <w:rPr>
                <w:rFonts w:ascii="Arial" w:hAnsi="Arial" w:cs="Arial"/>
                <w:sz w:val="18"/>
                <w:szCs w:val="18"/>
                <w:lang w:val="fr-FR" w:eastAsia="ja-JP"/>
              </w:rPr>
              <w:t xml:space="preserve"> </w:t>
            </w:r>
          </w:p>
          <w:p w14:paraId="286DEADE" w14:textId="77777777" w:rsidR="00AF3942" w:rsidRPr="009A788A" w:rsidRDefault="00AF3942" w:rsidP="00C60BC5">
            <w:pPr>
              <w:spacing w:before="60" w:after="60"/>
              <w:ind w:right="-187"/>
              <w:rPr>
                <w:rFonts w:cstheme="minorHAnsi"/>
                <w:b/>
                <w:lang w:val="fr-FR" w:eastAsia="ja-JP"/>
              </w:rPr>
            </w:pPr>
          </w:p>
        </w:tc>
      </w:tr>
      <w:tr w:rsidR="00ED483F" w:rsidRPr="00AF3942" w14:paraId="3A0B6CB2" w14:textId="77777777" w:rsidTr="7B4EA8A1">
        <w:trPr>
          <w:trHeight w:val="952"/>
        </w:trPr>
        <w:tc>
          <w:tcPr>
            <w:tcW w:w="9166" w:type="dxa"/>
            <w:gridSpan w:val="2"/>
          </w:tcPr>
          <w:p w14:paraId="49E5354D" w14:textId="77777777" w:rsidR="009249FD" w:rsidRPr="00AF3942"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p>
          <w:p w14:paraId="49937C11" w14:textId="0B1EB0A0" w:rsidR="00C60BC5" w:rsidRPr="00AF3942" w:rsidRDefault="00936B32" w:rsidP="00C60BC5">
            <w:pPr>
              <w:spacing w:before="60" w:after="60"/>
              <w:ind w:right="-187"/>
              <w:rPr>
                <w:rFonts w:cstheme="minorHAnsi"/>
                <w:b/>
              </w:rPr>
            </w:pPr>
            <w:r w:rsidRPr="00936B32">
              <w:rPr>
                <w:rFonts w:cstheme="minorHAnsi"/>
                <w:b/>
                <w:lang w:eastAsia="ja-JP"/>
              </w:rPr>
              <w:t>IGSC MeSA-2 results: Process view and evolution along a disposal programme</w:t>
            </w:r>
          </w:p>
        </w:tc>
      </w:tr>
      <w:tr w:rsidR="00285532" w:rsidRPr="00AF3942" w14:paraId="634A57D2" w14:textId="77777777" w:rsidTr="00E60D64">
        <w:trPr>
          <w:trHeight w:val="2400"/>
        </w:trPr>
        <w:tc>
          <w:tcPr>
            <w:tcW w:w="9166" w:type="dxa"/>
            <w:gridSpan w:val="2"/>
            <w:tcBorders>
              <w:bottom w:val="single" w:sz="4" w:space="0" w:color="auto"/>
            </w:tcBorders>
          </w:tcPr>
          <w:p w14:paraId="6355BE4E" w14:textId="77777777" w:rsidR="00285532" w:rsidRDefault="00AF3942" w:rsidP="0034498C">
            <w:pPr>
              <w:spacing w:before="60" w:after="60"/>
              <w:ind w:right="-89"/>
              <w:rPr>
                <w:rFonts w:cstheme="minorHAnsi"/>
                <w:b/>
                <w:lang w:eastAsia="ja-JP"/>
              </w:rPr>
            </w:pPr>
            <w:r w:rsidRPr="00AF3942">
              <w:rPr>
                <w:rFonts w:cstheme="minorHAnsi"/>
                <w:b/>
                <w:lang w:eastAsia="ja-JP"/>
              </w:rPr>
              <w:t>Abstract (300-500 words)</w:t>
            </w:r>
            <w:r w:rsidR="003D606A">
              <w:rPr>
                <w:rFonts w:cstheme="minorHAnsi"/>
                <w:b/>
                <w:lang w:eastAsia="ja-JP"/>
              </w:rPr>
              <w:t>:</w:t>
            </w:r>
          </w:p>
          <w:p w14:paraId="42CAE51A" w14:textId="318B19F0" w:rsidR="00F32E1F" w:rsidRDefault="0092007C" w:rsidP="00DE1063">
            <w:pPr>
              <w:spacing w:before="60" w:after="60"/>
              <w:ind w:right="144"/>
              <w:jc w:val="both"/>
              <w:rPr>
                <w:rFonts w:cstheme="minorHAnsi"/>
                <w:lang w:eastAsia="ja-JP"/>
              </w:rPr>
            </w:pPr>
            <w:r>
              <w:rPr>
                <w:rFonts w:cstheme="minorHAnsi"/>
                <w:lang w:eastAsia="ja-JP"/>
              </w:rPr>
              <w:t>Safety assessment stands at the core of each safety case: it helps demonstrate repository safety and informs safety-related programme decisions.</w:t>
            </w:r>
            <w:r w:rsidR="006D1BB9">
              <w:rPr>
                <w:rFonts w:cstheme="minorHAnsi"/>
                <w:lang w:eastAsia="ja-JP"/>
              </w:rPr>
              <w:t xml:space="preserve"> </w:t>
            </w:r>
            <w:r w:rsidR="004F1F1F">
              <w:rPr>
                <w:rFonts w:cstheme="minorHAnsi"/>
                <w:lang w:eastAsia="ja-JP"/>
              </w:rPr>
              <w:t>While the details of assessment methods vary depend</w:t>
            </w:r>
            <w:r>
              <w:rPr>
                <w:rFonts w:cstheme="minorHAnsi"/>
                <w:lang w:eastAsia="ja-JP"/>
              </w:rPr>
              <w:t>ing</w:t>
            </w:r>
            <w:r w:rsidR="004F1F1F">
              <w:rPr>
                <w:rFonts w:cstheme="minorHAnsi"/>
                <w:lang w:eastAsia="ja-JP"/>
              </w:rPr>
              <w:t xml:space="preserve"> on regulations, programme context, and </w:t>
            </w:r>
            <w:r w:rsidR="00FE1761">
              <w:rPr>
                <w:rFonts w:cstheme="minorHAnsi"/>
                <w:lang w:eastAsia="ja-JP"/>
              </w:rPr>
              <w:t xml:space="preserve">the </w:t>
            </w:r>
            <w:r>
              <w:rPr>
                <w:rFonts w:cstheme="minorHAnsi"/>
                <w:lang w:eastAsia="ja-JP"/>
              </w:rPr>
              <w:t xml:space="preserve">specific </w:t>
            </w:r>
            <w:r w:rsidR="004F1F1F">
              <w:rPr>
                <w:rFonts w:cstheme="minorHAnsi"/>
                <w:lang w:eastAsia="ja-JP"/>
              </w:rPr>
              <w:t xml:space="preserve">safety concept </w:t>
            </w:r>
            <w:r w:rsidR="00FE1761">
              <w:rPr>
                <w:rFonts w:cstheme="minorHAnsi"/>
                <w:lang w:eastAsia="ja-JP"/>
              </w:rPr>
              <w:t xml:space="preserve">under consideration, the general methodology </w:t>
            </w:r>
            <w:r w:rsidR="00F909FF">
              <w:rPr>
                <w:rFonts w:cstheme="minorHAnsi"/>
                <w:lang w:eastAsia="ja-JP"/>
              </w:rPr>
              <w:t xml:space="preserve">for demonstrating safety </w:t>
            </w:r>
            <w:r w:rsidR="00FE1761">
              <w:rPr>
                <w:rFonts w:cstheme="minorHAnsi"/>
                <w:lang w:eastAsia="ja-JP"/>
              </w:rPr>
              <w:t xml:space="preserve">is established and well understood </w:t>
            </w:r>
            <w:r w:rsidR="00CD4BAD">
              <w:rPr>
                <w:rFonts w:cstheme="minorHAnsi"/>
                <w:lang w:eastAsia="ja-JP"/>
              </w:rPr>
              <w:t xml:space="preserve">(see e.g., </w:t>
            </w:r>
            <w:r w:rsidR="00193E62" w:rsidRPr="00193E62">
              <w:rPr>
                <w:rFonts w:cstheme="minorHAnsi"/>
                <w:lang w:eastAsia="ja-JP"/>
              </w:rPr>
              <w:t>Methods for Safety Assessment of Geological Disposal Facilities for Radioactive Waste</w:t>
            </w:r>
            <w:r w:rsidR="00193E62">
              <w:rPr>
                <w:rFonts w:cstheme="minorHAnsi"/>
                <w:lang w:eastAsia="ja-JP"/>
              </w:rPr>
              <w:t xml:space="preserve">. </w:t>
            </w:r>
            <w:r w:rsidR="00193E62" w:rsidRPr="00193E62">
              <w:rPr>
                <w:rFonts w:cstheme="minorHAnsi"/>
                <w:lang w:eastAsia="ja-JP"/>
              </w:rPr>
              <w:t>Outcomes of the NEA MeSA Initiative</w:t>
            </w:r>
            <w:r w:rsidR="00CD4BAD">
              <w:rPr>
                <w:rFonts w:cstheme="minorHAnsi"/>
                <w:lang w:eastAsia="ja-JP"/>
              </w:rPr>
              <w:t xml:space="preserve">, </w:t>
            </w:r>
            <w:r w:rsidR="00193E62">
              <w:rPr>
                <w:rFonts w:cstheme="minorHAnsi"/>
                <w:lang w:eastAsia="ja-JP"/>
              </w:rPr>
              <w:t xml:space="preserve">2012). </w:t>
            </w:r>
            <w:r w:rsidR="00283D5B">
              <w:rPr>
                <w:rFonts w:cstheme="minorHAnsi"/>
                <w:lang w:eastAsia="ja-JP"/>
              </w:rPr>
              <w:t xml:space="preserve">However, in advanced programmes, implementation aspects become increasingly important: the safety case must </w:t>
            </w:r>
            <w:r w:rsidR="00283D5B" w:rsidRPr="00790912">
              <w:rPr>
                <w:rFonts w:cstheme="minorHAnsi"/>
                <w:i/>
                <w:iCs/>
                <w:lang w:eastAsia="ja-JP"/>
              </w:rPr>
              <w:t>demonstrate</w:t>
            </w:r>
            <w:r w:rsidR="00283D5B">
              <w:rPr>
                <w:rFonts w:cstheme="minorHAnsi"/>
                <w:lang w:eastAsia="ja-JP"/>
              </w:rPr>
              <w:t xml:space="preserve"> safety, but the design and its implementation must </w:t>
            </w:r>
            <w:r w:rsidR="00283D5B" w:rsidRPr="00790912">
              <w:rPr>
                <w:rFonts w:cstheme="minorHAnsi"/>
                <w:i/>
                <w:iCs/>
                <w:lang w:eastAsia="ja-JP"/>
              </w:rPr>
              <w:t>achieve</w:t>
            </w:r>
            <w:r w:rsidR="00283D5B">
              <w:rPr>
                <w:rFonts w:cstheme="minorHAnsi"/>
                <w:lang w:eastAsia="ja-JP"/>
              </w:rPr>
              <w:t xml:space="preserve"> it. At the interface between the safety case, the design, and its implementation, sit the derivation and management of requirements. This interface would benefit from clear methodological consideration and documentation, in much the same way as has been applied to safety assessment and safety case methodology in the past. To systematically address this, the IGSC has established a</w:t>
            </w:r>
            <w:r w:rsidR="00BB67C8">
              <w:rPr>
                <w:rFonts w:cstheme="minorHAnsi"/>
                <w:lang w:eastAsia="ja-JP"/>
              </w:rPr>
              <w:t xml:space="preserve"> new</w:t>
            </w:r>
            <w:r w:rsidR="00283D5B">
              <w:rPr>
                <w:rFonts w:cstheme="minorHAnsi"/>
                <w:lang w:eastAsia="ja-JP"/>
              </w:rPr>
              <w:t xml:space="preserve"> initiative </w:t>
            </w:r>
            <w:r w:rsidR="00BB67C8">
              <w:rPr>
                <w:rFonts w:cstheme="minorHAnsi"/>
                <w:lang w:eastAsia="ja-JP"/>
              </w:rPr>
              <w:t xml:space="preserve">in 2023 </w:t>
            </w:r>
            <w:r w:rsidR="00283D5B">
              <w:rPr>
                <w:rFonts w:cstheme="minorHAnsi"/>
                <w:lang w:eastAsia="ja-JP"/>
              </w:rPr>
              <w:t>to develop a</w:t>
            </w:r>
            <w:r w:rsidR="00283D5B" w:rsidRPr="00F909FF">
              <w:rPr>
                <w:rFonts w:cstheme="minorHAnsi"/>
                <w:lang w:eastAsia="ja-JP"/>
              </w:rPr>
              <w:t xml:space="preserve"> holistic view </w:t>
            </w:r>
            <w:r w:rsidR="00283D5B">
              <w:rPr>
                <w:rFonts w:cstheme="minorHAnsi"/>
                <w:lang w:eastAsia="ja-JP"/>
              </w:rPr>
              <w:t xml:space="preserve">on these aspects </w:t>
            </w:r>
            <w:r w:rsidR="00283D5B" w:rsidRPr="00F909FF">
              <w:rPr>
                <w:rFonts w:cstheme="minorHAnsi"/>
                <w:lang w:eastAsia="ja-JP"/>
              </w:rPr>
              <w:t xml:space="preserve">and embed the </w:t>
            </w:r>
            <w:r w:rsidR="00283D5B">
              <w:rPr>
                <w:rFonts w:cstheme="minorHAnsi"/>
                <w:lang w:eastAsia="ja-JP"/>
              </w:rPr>
              <w:t xml:space="preserve">existing </w:t>
            </w:r>
            <w:r w:rsidR="00283D5B" w:rsidRPr="00F909FF">
              <w:rPr>
                <w:rFonts w:cstheme="minorHAnsi"/>
                <w:lang w:eastAsia="ja-JP"/>
              </w:rPr>
              <w:t xml:space="preserve">MeSA framework </w:t>
            </w:r>
            <w:r w:rsidR="00283D5B">
              <w:rPr>
                <w:rFonts w:cstheme="minorHAnsi"/>
                <w:lang w:eastAsia="ja-JP"/>
              </w:rPr>
              <w:t>within</w:t>
            </w:r>
            <w:r w:rsidR="00283D5B" w:rsidRPr="00F909FF">
              <w:rPr>
                <w:rFonts w:cstheme="minorHAnsi"/>
                <w:lang w:eastAsia="ja-JP"/>
              </w:rPr>
              <w:t xml:space="preserve"> </w:t>
            </w:r>
            <w:r w:rsidR="00283D5B">
              <w:rPr>
                <w:rFonts w:cstheme="minorHAnsi"/>
                <w:lang w:eastAsia="ja-JP"/>
              </w:rPr>
              <w:t>this</w:t>
            </w:r>
            <w:r w:rsidR="00283D5B" w:rsidRPr="00F909FF">
              <w:rPr>
                <w:rFonts w:cstheme="minorHAnsi"/>
                <w:lang w:eastAsia="ja-JP"/>
              </w:rPr>
              <w:t xml:space="preserve"> wider context</w:t>
            </w:r>
            <w:r w:rsidR="00283D5B">
              <w:rPr>
                <w:rFonts w:cstheme="minorHAnsi"/>
                <w:lang w:eastAsia="ja-JP"/>
              </w:rPr>
              <w:t>.</w:t>
            </w:r>
            <w:r w:rsidR="00640FF1">
              <w:rPr>
                <w:rFonts w:cstheme="minorHAnsi"/>
                <w:lang w:eastAsia="ja-JP"/>
              </w:rPr>
              <w:t xml:space="preserve"> </w:t>
            </w:r>
          </w:p>
          <w:p w14:paraId="5D5677B4" w14:textId="6A7BA778" w:rsidR="00D5185D" w:rsidRDefault="000376B3" w:rsidP="00DE1063">
            <w:pPr>
              <w:spacing w:before="60" w:after="60"/>
              <w:ind w:right="144"/>
              <w:jc w:val="both"/>
              <w:rPr>
                <w:lang w:eastAsia="ja-JP"/>
              </w:rPr>
            </w:pPr>
            <w:r>
              <w:rPr>
                <w:rFonts w:cstheme="minorHAnsi"/>
                <w:lang w:eastAsia="ja-JP"/>
              </w:rPr>
              <w:t xml:space="preserve">One aspect of </w:t>
            </w:r>
            <w:r w:rsidR="0034498C">
              <w:rPr>
                <w:rFonts w:cstheme="minorHAnsi"/>
                <w:lang w:eastAsia="ja-JP"/>
              </w:rPr>
              <w:t>this new</w:t>
            </w:r>
            <w:r>
              <w:rPr>
                <w:rFonts w:cstheme="minorHAnsi"/>
                <w:lang w:eastAsia="ja-JP"/>
              </w:rPr>
              <w:t xml:space="preserve"> initiative is dedicated to exploring the evolution of and interaction between safety assessments, safety cases, requirements</w:t>
            </w:r>
            <w:r w:rsidR="00EB4D42">
              <w:rPr>
                <w:rFonts w:cstheme="minorHAnsi"/>
                <w:lang w:eastAsia="ja-JP"/>
              </w:rPr>
              <w:t>,</w:t>
            </w:r>
            <w:r>
              <w:rPr>
                <w:rFonts w:cstheme="minorHAnsi"/>
                <w:lang w:eastAsia="ja-JP"/>
              </w:rPr>
              <w:t xml:space="preserve"> and repository design over time</w:t>
            </w:r>
            <w:r w:rsidR="005450C5" w:rsidRPr="0AB0D0C6">
              <w:rPr>
                <w:lang w:eastAsia="ja-JP"/>
              </w:rPr>
              <w:t>,</w:t>
            </w:r>
            <w:r w:rsidR="00C130E1">
              <w:rPr>
                <w:rFonts w:cstheme="minorHAnsi"/>
                <w:lang w:eastAsia="ja-JP"/>
              </w:rPr>
              <w:t xml:space="preserve"> as the disposal programme advances from a generic feasibility / methodological project, through site characterisation and </w:t>
            </w:r>
            <w:r w:rsidR="00E348AE">
              <w:rPr>
                <w:rFonts w:cstheme="minorHAnsi"/>
                <w:lang w:eastAsia="ja-JP"/>
              </w:rPr>
              <w:t xml:space="preserve">a site-specific </w:t>
            </w:r>
            <w:r w:rsidR="00C130E1">
              <w:rPr>
                <w:rFonts w:cstheme="minorHAnsi"/>
                <w:lang w:eastAsia="ja-JP"/>
              </w:rPr>
              <w:t>design, finally to facility construction and operation.</w:t>
            </w:r>
            <w:r w:rsidR="006126EE" w:rsidRPr="0AB0D0C6">
              <w:rPr>
                <w:lang w:eastAsia="ja-JP"/>
              </w:rPr>
              <w:t xml:space="preserve"> </w:t>
            </w:r>
          </w:p>
          <w:p w14:paraId="2D2EBBE0" w14:textId="5869D8A2" w:rsidR="0070051F" w:rsidRDefault="0072273E" w:rsidP="00DE1063">
            <w:pPr>
              <w:spacing w:before="60" w:after="60"/>
              <w:ind w:right="144"/>
              <w:jc w:val="both"/>
              <w:rPr>
                <w:rFonts w:cstheme="minorHAnsi"/>
                <w:lang w:eastAsia="ja-JP"/>
              </w:rPr>
            </w:pPr>
            <w:r>
              <w:rPr>
                <w:rFonts w:cstheme="minorHAnsi"/>
                <w:lang w:eastAsia="ja-JP"/>
              </w:rPr>
              <w:t>We will present the newly</w:t>
            </w:r>
            <w:r w:rsidR="00D82DF7">
              <w:rPr>
                <w:rFonts w:cstheme="minorHAnsi"/>
                <w:lang w:eastAsia="ja-JP"/>
              </w:rPr>
              <w:t xml:space="preserve"> developed </w:t>
            </w:r>
            <w:r w:rsidR="00B6562E">
              <w:rPr>
                <w:rFonts w:cstheme="minorHAnsi"/>
                <w:lang w:eastAsia="ja-JP"/>
              </w:rPr>
              <w:t>process-oriented</w:t>
            </w:r>
            <w:r w:rsidR="00D82DF7">
              <w:rPr>
                <w:rFonts w:cstheme="minorHAnsi"/>
                <w:lang w:eastAsia="ja-JP"/>
              </w:rPr>
              <w:t xml:space="preserve"> flowchart that complements </w:t>
            </w:r>
            <w:r>
              <w:rPr>
                <w:rFonts w:cstheme="minorHAnsi"/>
                <w:lang w:eastAsia="ja-JP"/>
              </w:rPr>
              <w:t xml:space="preserve">two </w:t>
            </w:r>
            <w:r w:rsidR="001E04F7">
              <w:rPr>
                <w:rFonts w:cstheme="minorHAnsi"/>
                <w:lang w:eastAsia="ja-JP"/>
              </w:rPr>
              <w:t xml:space="preserve">other </w:t>
            </w:r>
            <w:r>
              <w:rPr>
                <w:rFonts w:cstheme="minorHAnsi"/>
                <w:lang w:eastAsia="ja-JP"/>
              </w:rPr>
              <w:t xml:space="preserve">flowcharts </w:t>
            </w:r>
            <w:r w:rsidR="001E04F7">
              <w:rPr>
                <w:rFonts w:cstheme="minorHAnsi"/>
                <w:lang w:eastAsia="ja-JP"/>
              </w:rPr>
              <w:t>resulting from the</w:t>
            </w:r>
            <w:r w:rsidR="00785E20">
              <w:rPr>
                <w:rFonts w:cstheme="minorHAnsi"/>
                <w:lang w:eastAsia="ja-JP"/>
              </w:rPr>
              <w:t xml:space="preserve"> new</w:t>
            </w:r>
            <w:r w:rsidR="001E04F7">
              <w:rPr>
                <w:rFonts w:cstheme="minorHAnsi"/>
                <w:lang w:eastAsia="ja-JP"/>
              </w:rPr>
              <w:t xml:space="preserve"> initiative </w:t>
            </w:r>
            <w:r>
              <w:rPr>
                <w:rFonts w:cstheme="minorHAnsi"/>
                <w:lang w:eastAsia="ja-JP"/>
              </w:rPr>
              <w:t>on (i) the role of safety assessment in the wider context of the safety case and repository development and (ii) the assessment methodology itself</w:t>
            </w:r>
            <w:r w:rsidR="00080ED3">
              <w:rPr>
                <w:rFonts w:cstheme="minorHAnsi"/>
                <w:lang w:eastAsia="ja-JP"/>
              </w:rPr>
              <w:t>.</w:t>
            </w:r>
            <w:r w:rsidR="00EE474D">
              <w:rPr>
                <w:rFonts w:cstheme="minorHAnsi"/>
                <w:lang w:eastAsia="ja-JP"/>
              </w:rPr>
              <w:t xml:space="preserve"> </w:t>
            </w:r>
            <w:r w:rsidR="006774E8">
              <w:rPr>
                <w:rFonts w:cstheme="minorHAnsi"/>
                <w:lang w:eastAsia="ja-JP"/>
              </w:rPr>
              <w:t xml:space="preserve">Driven by the overarching goal to </w:t>
            </w:r>
            <w:r w:rsidR="006774E8" w:rsidRPr="006774E8">
              <w:rPr>
                <w:rFonts w:cstheme="minorHAnsi"/>
                <w:i/>
                <w:iCs/>
                <w:lang w:eastAsia="ja-JP"/>
              </w:rPr>
              <w:t>design for safety</w:t>
            </w:r>
            <w:r w:rsidR="006774E8">
              <w:rPr>
                <w:rFonts w:cstheme="minorHAnsi"/>
                <w:i/>
                <w:iCs/>
                <w:lang w:eastAsia="ja-JP"/>
              </w:rPr>
              <w:t xml:space="preserve">, </w:t>
            </w:r>
            <w:r w:rsidR="003D7FB5">
              <w:rPr>
                <w:rFonts w:cstheme="minorHAnsi"/>
                <w:lang w:eastAsia="ja-JP"/>
              </w:rPr>
              <w:t>each step in a disposal program</w:t>
            </w:r>
            <w:r w:rsidR="005E0EE4">
              <w:rPr>
                <w:rFonts w:cstheme="minorHAnsi"/>
                <w:lang w:eastAsia="ja-JP"/>
              </w:rPr>
              <w:t>me</w:t>
            </w:r>
            <w:r w:rsidR="003D7FB5">
              <w:rPr>
                <w:rFonts w:cstheme="minorHAnsi"/>
                <w:lang w:eastAsia="ja-JP"/>
              </w:rPr>
              <w:t xml:space="preserve"> starts from </w:t>
            </w:r>
            <w:r w:rsidR="00877EF7">
              <w:rPr>
                <w:rFonts w:cstheme="minorHAnsi"/>
                <w:lang w:eastAsia="ja-JP"/>
              </w:rPr>
              <w:t>the</w:t>
            </w:r>
            <w:r w:rsidR="003D7FB5">
              <w:rPr>
                <w:rFonts w:cstheme="minorHAnsi"/>
                <w:lang w:eastAsia="ja-JP"/>
              </w:rPr>
              <w:t xml:space="preserve"> previous stage, must consider</w:t>
            </w:r>
            <w:r w:rsidR="00511097">
              <w:rPr>
                <w:rFonts w:cstheme="minorHAnsi"/>
                <w:lang w:eastAsia="ja-JP"/>
              </w:rPr>
              <w:t xml:space="preserve"> external requirements and constraints</w:t>
            </w:r>
            <w:r w:rsidR="003D7FB5">
              <w:rPr>
                <w:rFonts w:cstheme="minorHAnsi"/>
                <w:lang w:eastAsia="ja-JP"/>
              </w:rPr>
              <w:t xml:space="preserve">, and has a specific goal or aim. </w:t>
            </w:r>
            <w:r w:rsidR="00456A93">
              <w:rPr>
                <w:rFonts w:cstheme="minorHAnsi"/>
                <w:lang w:eastAsia="ja-JP"/>
              </w:rPr>
              <w:t xml:space="preserve">It follows that the implementation process can broadly be seen as an iterative loop between (i) requirements formulation, (ii) analysis and assessments, and (iii) system and design development. Successive iterations build on the previous understanding until the overall aim of a design that satisfies the safety requirements under all credible scenarios is achieved. Depending on the project milestone, a formal safety case may be compiled at each iteration. In any case, there is a return of experience to the disposal programme at large that includes an update of the scientific basis, proper tracking of remaining uncertainty, and possibly an update of boundary conditions. An example of the latter is the result of site selection, after which the geology can be </w:t>
            </w:r>
            <w:r w:rsidR="00456A93">
              <w:rPr>
                <w:rFonts w:cstheme="minorHAnsi"/>
                <w:lang w:eastAsia="ja-JP"/>
              </w:rPr>
              <w:lastRenderedPageBreak/>
              <w:t>considered as an external constraint. It may also be necessary to address any significant changes to programme policy, e.g.,</w:t>
            </w:r>
            <w:r w:rsidR="00CF4864">
              <w:rPr>
                <w:rFonts w:cstheme="minorHAnsi"/>
                <w:lang w:eastAsia="ja-JP"/>
              </w:rPr>
              <w:t xml:space="preserve"> changes in the</w:t>
            </w:r>
            <w:r w:rsidR="00456A93">
              <w:rPr>
                <w:rFonts w:cstheme="minorHAnsi"/>
                <w:lang w:eastAsia="ja-JP"/>
              </w:rPr>
              <w:t xml:space="preserve"> inventory for disposal.</w:t>
            </w:r>
            <w:r w:rsidR="00814407">
              <w:rPr>
                <w:rFonts w:cstheme="minorHAnsi"/>
                <w:lang w:eastAsia="ja-JP"/>
              </w:rPr>
              <w:t xml:space="preserve"> </w:t>
            </w:r>
          </w:p>
          <w:p w14:paraId="56B5DB48" w14:textId="2D541E18" w:rsidR="00080ED3" w:rsidRDefault="0070051F" w:rsidP="00DE1063">
            <w:pPr>
              <w:spacing w:before="60" w:after="60"/>
              <w:ind w:right="144"/>
              <w:jc w:val="both"/>
              <w:rPr>
                <w:rFonts w:cstheme="minorHAnsi"/>
                <w:lang w:eastAsia="ja-JP"/>
              </w:rPr>
            </w:pPr>
            <w:r>
              <w:rPr>
                <w:rFonts w:cstheme="minorHAnsi"/>
                <w:lang w:eastAsia="ja-JP"/>
              </w:rPr>
              <w:t>F</w:t>
            </w:r>
            <w:r w:rsidR="00814407">
              <w:rPr>
                <w:rFonts w:cstheme="minorHAnsi"/>
                <w:lang w:eastAsia="ja-JP"/>
              </w:rPr>
              <w:t>or specific stages</w:t>
            </w:r>
            <w:r w:rsidR="00703726">
              <w:rPr>
                <w:rFonts w:cstheme="minorHAnsi"/>
                <w:lang w:eastAsia="ja-JP"/>
              </w:rPr>
              <w:t xml:space="preserve"> along a disposal program</w:t>
            </w:r>
            <w:r w:rsidR="00CF4864">
              <w:rPr>
                <w:rFonts w:cstheme="minorHAnsi"/>
                <w:lang w:eastAsia="ja-JP"/>
              </w:rPr>
              <w:t>me</w:t>
            </w:r>
            <w:r w:rsidR="00703726">
              <w:rPr>
                <w:rFonts w:cstheme="minorHAnsi"/>
                <w:lang w:eastAsia="ja-JP"/>
              </w:rPr>
              <w:t xml:space="preserve">, </w:t>
            </w:r>
            <w:r w:rsidR="00814407">
              <w:rPr>
                <w:rFonts w:cstheme="minorHAnsi"/>
                <w:lang w:eastAsia="ja-JP"/>
              </w:rPr>
              <w:t>details of the process are fleshed out</w:t>
            </w:r>
            <w:r w:rsidR="00586EA2">
              <w:rPr>
                <w:rFonts w:cstheme="minorHAnsi"/>
                <w:lang w:eastAsia="ja-JP"/>
              </w:rPr>
              <w:t xml:space="preserve"> based on</w:t>
            </w:r>
            <w:r w:rsidR="00814407">
              <w:rPr>
                <w:rFonts w:cstheme="minorHAnsi"/>
                <w:lang w:eastAsia="ja-JP"/>
              </w:rPr>
              <w:t xml:space="preserve"> national experience gathered, inter alia, in Finland, France, Sweden</w:t>
            </w:r>
            <w:r w:rsidR="00586EA2">
              <w:rPr>
                <w:rFonts w:cstheme="minorHAnsi"/>
                <w:lang w:eastAsia="ja-JP"/>
              </w:rPr>
              <w:t>, Switzerland and the UK</w:t>
            </w:r>
            <w:r w:rsidR="00814407">
              <w:rPr>
                <w:rFonts w:cstheme="minorHAnsi"/>
                <w:lang w:eastAsia="ja-JP"/>
              </w:rPr>
              <w:t xml:space="preserve">.   </w:t>
            </w:r>
          </w:p>
          <w:p w14:paraId="7BB4D488" w14:textId="26080D95" w:rsidR="003B1F4D" w:rsidRPr="00011325" w:rsidRDefault="00D5185D" w:rsidP="00E60D64">
            <w:pPr>
              <w:spacing w:before="60" w:after="60"/>
              <w:ind w:right="144"/>
              <w:jc w:val="both"/>
              <w:rPr>
                <w:rFonts w:cstheme="minorHAnsi"/>
                <w:lang w:eastAsia="ja-JP"/>
              </w:rPr>
            </w:pPr>
            <w:r>
              <w:rPr>
                <w:rFonts w:cstheme="minorHAnsi"/>
                <w:lang w:eastAsia="ja-JP"/>
              </w:rPr>
              <w:t xml:space="preserve">The </w:t>
            </w:r>
            <w:r w:rsidR="00803B8A">
              <w:rPr>
                <w:rFonts w:cstheme="minorHAnsi"/>
                <w:lang w:eastAsia="ja-JP"/>
              </w:rPr>
              <w:t xml:space="preserve">results are a contribution to an update of the MeSA report (2012) </w:t>
            </w:r>
            <w:r w:rsidR="00B034CF">
              <w:rPr>
                <w:rFonts w:cstheme="minorHAnsi"/>
                <w:lang w:eastAsia="ja-JP"/>
              </w:rPr>
              <w:t xml:space="preserve">that results from the overarching </w:t>
            </w:r>
            <w:r w:rsidR="00872850">
              <w:rPr>
                <w:rFonts w:cstheme="minorHAnsi"/>
                <w:lang w:eastAsia="ja-JP"/>
              </w:rPr>
              <w:t xml:space="preserve">new </w:t>
            </w:r>
            <w:r w:rsidR="00B034CF">
              <w:rPr>
                <w:rFonts w:cstheme="minorHAnsi"/>
                <w:lang w:eastAsia="ja-JP"/>
              </w:rPr>
              <w:t xml:space="preserve">initiative. </w:t>
            </w:r>
            <w:r>
              <w:rPr>
                <w:rFonts w:cstheme="minorHAnsi"/>
                <w:lang w:eastAsia="ja-JP"/>
              </w:rPr>
              <w:t xml:space="preserve">Special consideration </w:t>
            </w:r>
            <w:r w:rsidR="000340AA">
              <w:rPr>
                <w:rFonts w:cstheme="minorHAnsi"/>
                <w:lang w:eastAsia="ja-JP"/>
              </w:rPr>
              <w:t>has been</w:t>
            </w:r>
            <w:r>
              <w:rPr>
                <w:rFonts w:cstheme="minorHAnsi"/>
                <w:lang w:eastAsia="ja-JP"/>
              </w:rPr>
              <w:t xml:space="preserve"> given to the relationship with</w:t>
            </w:r>
            <w:r w:rsidR="00CF4864">
              <w:rPr>
                <w:rFonts w:cstheme="minorHAnsi"/>
                <w:lang w:eastAsia="ja-JP"/>
              </w:rPr>
              <w:t xml:space="preserve"> the</w:t>
            </w:r>
            <w:r>
              <w:rPr>
                <w:rFonts w:cstheme="minorHAnsi"/>
                <w:lang w:eastAsia="ja-JP"/>
              </w:rPr>
              <w:t xml:space="preserve"> IGSC’s Ge</w:t>
            </w:r>
            <w:r w:rsidR="000340AA">
              <w:rPr>
                <w:rFonts w:cstheme="minorHAnsi"/>
                <w:lang w:eastAsia="ja-JP"/>
              </w:rPr>
              <w:t>n</w:t>
            </w:r>
            <w:r>
              <w:rPr>
                <w:rFonts w:cstheme="minorHAnsi"/>
                <w:lang w:eastAsia="ja-JP"/>
              </w:rPr>
              <w:t>eSi</w:t>
            </w:r>
            <w:r w:rsidR="005954B7">
              <w:rPr>
                <w:rFonts w:cstheme="minorHAnsi"/>
                <w:lang w:eastAsia="ja-JP"/>
              </w:rPr>
              <w:t>S</w:t>
            </w:r>
            <w:r>
              <w:rPr>
                <w:rFonts w:cstheme="minorHAnsi"/>
                <w:lang w:eastAsia="ja-JP"/>
              </w:rPr>
              <w:t xml:space="preserve"> project addressing the evolution from generic to site specific </w:t>
            </w:r>
            <w:r w:rsidR="00CF4864">
              <w:rPr>
                <w:rFonts w:cstheme="minorHAnsi"/>
                <w:lang w:eastAsia="ja-JP"/>
              </w:rPr>
              <w:t>s</w:t>
            </w:r>
            <w:r>
              <w:rPr>
                <w:rFonts w:cstheme="minorHAnsi"/>
                <w:lang w:eastAsia="ja-JP"/>
              </w:rPr>
              <w:t>afety</w:t>
            </w:r>
            <w:r w:rsidR="00CF4864">
              <w:rPr>
                <w:rFonts w:cstheme="minorHAnsi"/>
                <w:lang w:eastAsia="ja-JP"/>
              </w:rPr>
              <w:t xml:space="preserve"> c</w:t>
            </w:r>
            <w:r>
              <w:rPr>
                <w:rFonts w:cstheme="minorHAnsi"/>
                <w:lang w:eastAsia="ja-JP"/>
              </w:rPr>
              <w:t>ases as well as with the ongoing EURAD work on requirements management.</w:t>
            </w:r>
          </w:p>
        </w:tc>
      </w:tr>
    </w:tbl>
    <w:p w14:paraId="5C25AB90" w14:textId="77777777" w:rsidR="00ED483F" w:rsidRPr="00AF3942" w:rsidRDefault="00ED483F" w:rsidP="00C60BC5">
      <w:pPr>
        <w:spacing w:after="0" w:line="240" w:lineRule="auto"/>
        <w:ind w:right="-188"/>
        <w:rPr>
          <w:rFonts w:cstheme="minorHAnsi"/>
          <w:b/>
          <w:lang w:eastAsia="ja-JP"/>
        </w:rPr>
      </w:pPr>
    </w:p>
    <w:sectPr w:rsidR="00ED483F" w:rsidRPr="00AF3942" w:rsidSect="00E57A50">
      <w:headerReference w:type="even" r:id="rId15"/>
      <w:headerReference w:type="default" r:id="rId16"/>
      <w:head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CABD4" w14:textId="77777777" w:rsidR="00F4466C" w:rsidRDefault="00F4466C" w:rsidP="00AF3942">
      <w:pPr>
        <w:spacing w:after="0" w:line="240" w:lineRule="auto"/>
      </w:pPr>
      <w:r>
        <w:separator/>
      </w:r>
    </w:p>
  </w:endnote>
  <w:endnote w:type="continuationSeparator" w:id="0">
    <w:p w14:paraId="69C2FCA3" w14:textId="77777777" w:rsidR="00F4466C" w:rsidRDefault="00F4466C"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9F4D5" w14:textId="77777777" w:rsidR="00F4466C" w:rsidRDefault="00F4466C" w:rsidP="00AF3942">
      <w:pPr>
        <w:spacing w:after="0" w:line="240" w:lineRule="auto"/>
      </w:pPr>
      <w:r>
        <w:separator/>
      </w:r>
    </w:p>
  </w:footnote>
  <w:footnote w:type="continuationSeparator" w:id="0">
    <w:p w14:paraId="0C7A9C6D" w14:textId="77777777" w:rsidR="00F4466C" w:rsidRDefault="00F4466C" w:rsidP="00AF3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557D2" w14:textId="22E35639" w:rsidR="003562A7" w:rsidRDefault="003562A7">
    <w:pPr>
      <w:pStyle w:val="Header"/>
    </w:pPr>
    <w:r>
      <w:rPr>
        <w:noProof/>
      </w:rPr>
      <mc:AlternateContent>
        <mc:Choice Requires="wps">
          <w:drawing>
            <wp:anchor distT="0" distB="0" distL="0" distR="0" simplePos="0" relativeHeight="251659264" behindDoc="0" locked="0" layoutInCell="1" allowOverlap="1" wp14:anchorId="066F8CAC" wp14:editId="1871C7E8">
              <wp:simplePos x="635" y="635"/>
              <wp:positionH relativeFrom="page">
                <wp:align>center</wp:align>
              </wp:positionH>
              <wp:positionV relativeFrom="page">
                <wp:align>top</wp:align>
              </wp:positionV>
              <wp:extent cx="443865" cy="443865"/>
              <wp:effectExtent l="0" t="0" r="16510" b="1206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B14D20" w14:textId="73E8BABF" w:rsidR="003562A7" w:rsidRPr="003562A7" w:rsidRDefault="003562A7" w:rsidP="003562A7">
                          <w:pPr>
                            <w:spacing w:after="0"/>
                            <w:rPr>
                              <w:rFonts w:ascii="Calibri" w:eastAsia="Calibri" w:hAnsi="Calibri" w:cs="Calibri"/>
                              <w:noProof/>
                              <w:color w:val="000000"/>
                              <w:sz w:val="20"/>
                              <w:szCs w:val="20"/>
                            </w:rPr>
                          </w:pPr>
                          <w:r w:rsidRPr="003562A7">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66F8CAC"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73B14D20" w14:textId="73E8BABF" w:rsidR="003562A7" w:rsidRPr="003562A7" w:rsidRDefault="003562A7" w:rsidP="003562A7">
                    <w:pPr>
                      <w:spacing w:after="0"/>
                      <w:rPr>
                        <w:rFonts w:ascii="Calibri" w:eastAsia="Calibri" w:hAnsi="Calibri" w:cs="Calibri"/>
                        <w:noProof/>
                        <w:color w:val="000000"/>
                        <w:sz w:val="20"/>
                        <w:szCs w:val="20"/>
                      </w:rPr>
                    </w:pPr>
                    <w:r w:rsidRPr="003562A7">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98171" w14:textId="3212F57C" w:rsidR="003562A7" w:rsidRDefault="003562A7">
    <w:pPr>
      <w:pStyle w:val="Header"/>
    </w:pPr>
    <w:r>
      <w:rPr>
        <w:noProof/>
      </w:rPr>
      <mc:AlternateContent>
        <mc:Choice Requires="wps">
          <w:drawing>
            <wp:anchor distT="0" distB="0" distL="0" distR="0" simplePos="0" relativeHeight="251660288" behindDoc="0" locked="0" layoutInCell="1" allowOverlap="1" wp14:anchorId="1C6067DF" wp14:editId="5BB77449">
              <wp:simplePos x="914400" y="447675"/>
              <wp:positionH relativeFrom="page">
                <wp:align>center</wp:align>
              </wp:positionH>
              <wp:positionV relativeFrom="page">
                <wp:align>top</wp:align>
              </wp:positionV>
              <wp:extent cx="443865" cy="443865"/>
              <wp:effectExtent l="0" t="0" r="16510" b="1206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AC3D57" w14:textId="08B9F78B" w:rsidR="003562A7" w:rsidRPr="003562A7" w:rsidRDefault="003562A7" w:rsidP="003562A7">
                          <w:pPr>
                            <w:spacing w:after="0"/>
                            <w:rPr>
                              <w:rFonts w:ascii="Calibri" w:eastAsia="Calibri" w:hAnsi="Calibri" w:cs="Calibri"/>
                              <w:noProof/>
                              <w:color w:val="000000"/>
                              <w:sz w:val="20"/>
                              <w:szCs w:val="20"/>
                            </w:rPr>
                          </w:pPr>
                          <w:r w:rsidRPr="003562A7">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6067DF"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36AC3D57" w14:textId="08B9F78B" w:rsidR="003562A7" w:rsidRPr="003562A7" w:rsidRDefault="003562A7" w:rsidP="003562A7">
                    <w:pPr>
                      <w:spacing w:after="0"/>
                      <w:rPr>
                        <w:rFonts w:ascii="Calibri" w:eastAsia="Calibri" w:hAnsi="Calibri" w:cs="Calibri"/>
                        <w:noProof/>
                        <w:color w:val="000000"/>
                        <w:sz w:val="20"/>
                        <w:szCs w:val="20"/>
                      </w:rPr>
                    </w:pPr>
                    <w:r w:rsidRPr="003562A7">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447F2" w14:textId="4EF50CFC" w:rsidR="003562A7" w:rsidRDefault="003562A7">
    <w:pPr>
      <w:pStyle w:val="Header"/>
    </w:pPr>
    <w:r>
      <w:rPr>
        <w:noProof/>
      </w:rPr>
      <mc:AlternateContent>
        <mc:Choice Requires="wps">
          <w:drawing>
            <wp:anchor distT="0" distB="0" distL="0" distR="0" simplePos="0" relativeHeight="251658240" behindDoc="0" locked="0" layoutInCell="1" allowOverlap="1" wp14:anchorId="2A000D05" wp14:editId="09FAF555">
              <wp:simplePos x="635" y="635"/>
              <wp:positionH relativeFrom="page">
                <wp:align>center</wp:align>
              </wp:positionH>
              <wp:positionV relativeFrom="page">
                <wp:align>top</wp:align>
              </wp:positionV>
              <wp:extent cx="443865" cy="443865"/>
              <wp:effectExtent l="0" t="0" r="16510" b="1206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B587A9" w14:textId="56222833" w:rsidR="003562A7" w:rsidRPr="003562A7" w:rsidRDefault="003562A7" w:rsidP="003562A7">
                          <w:pPr>
                            <w:spacing w:after="0"/>
                            <w:rPr>
                              <w:rFonts w:ascii="Calibri" w:eastAsia="Calibri" w:hAnsi="Calibri" w:cs="Calibri"/>
                              <w:noProof/>
                              <w:color w:val="000000"/>
                              <w:sz w:val="20"/>
                              <w:szCs w:val="20"/>
                            </w:rPr>
                          </w:pPr>
                          <w:r w:rsidRPr="003562A7">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A000D05" id="_x0000_t202" coordsize="21600,21600" o:spt="202" path="m,l,21600r21600,l21600,xe">
              <v:stroke joinstyle="miter"/>
              <v:path gradientshapeok="t" o:connecttype="rect"/>
            </v:shapetype>
            <v:shape id="Text Box 1" o:spid="_x0000_s1028"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33B587A9" w14:textId="56222833" w:rsidR="003562A7" w:rsidRPr="003562A7" w:rsidRDefault="003562A7" w:rsidP="003562A7">
                    <w:pPr>
                      <w:spacing w:after="0"/>
                      <w:rPr>
                        <w:rFonts w:ascii="Calibri" w:eastAsia="Calibri" w:hAnsi="Calibri" w:cs="Calibri"/>
                        <w:noProof/>
                        <w:color w:val="000000"/>
                        <w:sz w:val="20"/>
                        <w:szCs w:val="20"/>
                      </w:rPr>
                    </w:pPr>
                    <w:r w:rsidRPr="003562A7">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31639901">
    <w:abstractNumId w:val="1"/>
  </w:num>
  <w:num w:numId="2" w16cid:durableId="264533111">
    <w:abstractNumId w:val="0"/>
  </w:num>
  <w:num w:numId="3" w16cid:durableId="9028358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417169B99A2ECAEFC9AC59D1600B68883ABD512A94F85CC2DEBF804D6ED4B70"/>
  </w:docVars>
  <w:rsids>
    <w:rsidRoot w:val="00ED483F"/>
    <w:rsid w:val="00004978"/>
    <w:rsid w:val="00006677"/>
    <w:rsid w:val="00007A14"/>
    <w:rsid w:val="00011325"/>
    <w:rsid w:val="00023D7C"/>
    <w:rsid w:val="000340AA"/>
    <w:rsid w:val="000376B3"/>
    <w:rsid w:val="00042305"/>
    <w:rsid w:val="00044C09"/>
    <w:rsid w:val="0004578C"/>
    <w:rsid w:val="0005172A"/>
    <w:rsid w:val="00067603"/>
    <w:rsid w:val="000776B9"/>
    <w:rsid w:val="00080ED3"/>
    <w:rsid w:val="000B0109"/>
    <w:rsid w:val="000B0E1A"/>
    <w:rsid w:val="000C2815"/>
    <w:rsid w:val="001210D2"/>
    <w:rsid w:val="001215B8"/>
    <w:rsid w:val="001257B3"/>
    <w:rsid w:val="00136848"/>
    <w:rsid w:val="001921F2"/>
    <w:rsid w:val="00193E62"/>
    <w:rsid w:val="001A19DB"/>
    <w:rsid w:val="001A3257"/>
    <w:rsid w:val="001E04F7"/>
    <w:rsid w:val="002005EB"/>
    <w:rsid w:val="00211CC8"/>
    <w:rsid w:val="0024518F"/>
    <w:rsid w:val="0025791E"/>
    <w:rsid w:val="00261A69"/>
    <w:rsid w:val="00283D5B"/>
    <w:rsid w:val="00285532"/>
    <w:rsid w:val="002C48DA"/>
    <w:rsid w:val="002C5CFB"/>
    <w:rsid w:val="002E418E"/>
    <w:rsid w:val="0034498C"/>
    <w:rsid w:val="003562A7"/>
    <w:rsid w:val="003B1F4D"/>
    <w:rsid w:val="003D606A"/>
    <w:rsid w:val="003D7FB5"/>
    <w:rsid w:val="00456A93"/>
    <w:rsid w:val="004961BC"/>
    <w:rsid w:val="004A1686"/>
    <w:rsid w:val="004A3E10"/>
    <w:rsid w:val="004B4346"/>
    <w:rsid w:val="004D40A7"/>
    <w:rsid w:val="004E14D9"/>
    <w:rsid w:val="004F1F1F"/>
    <w:rsid w:val="004F6796"/>
    <w:rsid w:val="00511097"/>
    <w:rsid w:val="0051692E"/>
    <w:rsid w:val="0051751D"/>
    <w:rsid w:val="005208E7"/>
    <w:rsid w:val="005450C5"/>
    <w:rsid w:val="00586EA2"/>
    <w:rsid w:val="005954B7"/>
    <w:rsid w:val="005B7B53"/>
    <w:rsid w:val="005E0EE4"/>
    <w:rsid w:val="005E6696"/>
    <w:rsid w:val="006126EE"/>
    <w:rsid w:val="00640FF1"/>
    <w:rsid w:val="00667C32"/>
    <w:rsid w:val="0067177D"/>
    <w:rsid w:val="006774E8"/>
    <w:rsid w:val="006C48FC"/>
    <w:rsid w:val="006D1BB9"/>
    <w:rsid w:val="0070051F"/>
    <w:rsid w:val="00703726"/>
    <w:rsid w:val="0072273E"/>
    <w:rsid w:val="007319F6"/>
    <w:rsid w:val="0073678F"/>
    <w:rsid w:val="0074091E"/>
    <w:rsid w:val="007611CF"/>
    <w:rsid w:val="0077682E"/>
    <w:rsid w:val="00785E20"/>
    <w:rsid w:val="007873E8"/>
    <w:rsid w:val="007B170C"/>
    <w:rsid w:val="007B471B"/>
    <w:rsid w:val="007D3773"/>
    <w:rsid w:val="007F7A9E"/>
    <w:rsid w:val="00803B8A"/>
    <w:rsid w:val="00814407"/>
    <w:rsid w:val="00816233"/>
    <w:rsid w:val="00872850"/>
    <w:rsid w:val="00877EF7"/>
    <w:rsid w:val="008C53E2"/>
    <w:rsid w:val="008F4C9B"/>
    <w:rsid w:val="00914F63"/>
    <w:rsid w:val="009172C9"/>
    <w:rsid w:val="0092007C"/>
    <w:rsid w:val="009249FD"/>
    <w:rsid w:val="00936B32"/>
    <w:rsid w:val="009A788A"/>
    <w:rsid w:val="009C0B31"/>
    <w:rsid w:val="009C3C04"/>
    <w:rsid w:val="009F2F33"/>
    <w:rsid w:val="00A05E4C"/>
    <w:rsid w:val="00A21B17"/>
    <w:rsid w:val="00A523B4"/>
    <w:rsid w:val="00A64893"/>
    <w:rsid w:val="00A84503"/>
    <w:rsid w:val="00A91B0F"/>
    <w:rsid w:val="00AA6CE9"/>
    <w:rsid w:val="00AC0FD9"/>
    <w:rsid w:val="00AD5596"/>
    <w:rsid w:val="00AE392B"/>
    <w:rsid w:val="00AF3942"/>
    <w:rsid w:val="00B034CF"/>
    <w:rsid w:val="00B22E8F"/>
    <w:rsid w:val="00B25878"/>
    <w:rsid w:val="00B6562E"/>
    <w:rsid w:val="00B820DC"/>
    <w:rsid w:val="00BB67C8"/>
    <w:rsid w:val="00C130E1"/>
    <w:rsid w:val="00C332C9"/>
    <w:rsid w:val="00C52D8B"/>
    <w:rsid w:val="00C60BC5"/>
    <w:rsid w:val="00C82EB8"/>
    <w:rsid w:val="00CC3595"/>
    <w:rsid w:val="00CD4A79"/>
    <w:rsid w:val="00CD4BAD"/>
    <w:rsid w:val="00CD5585"/>
    <w:rsid w:val="00CE4CE8"/>
    <w:rsid w:val="00CF169C"/>
    <w:rsid w:val="00CF4864"/>
    <w:rsid w:val="00D0761D"/>
    <w:rsid w:val="00D269AE"/>
    <w:rsid w:val="00D5185D"/>
    <w:rsid w:val="00D67BF3"/>
    <w:rsid w:val="00D82DF7"/>
    <w:rsid w:val="00D91B86"/>
    <w:rsid w:val="00DA3D6F"/>
    <w:rsid w:val="00DB6830"/>
    <w:rsid w:val="00DE1063"/>
    <w:rsid w:val="00E22E27"/>
    <w:rsid w:val="00E24189"/>
    <w:rsid w:val="00E348AE"/>
    <w:rsid w:val="00E5336C"/>
    <w:rsid w:val="00E57A50"/>
    <w:rsid w:val="00E60D64"/>
    <w:rsid w:val="00E62756"/>
    <w:rsid w:val="00E778A4"/>
    <w:rsid w:val="00EA1141"/>
    <w:rsid w:val="00EB4D42"/>
    <w:rsid w:val="00ED483F"/>
    <w:rsid w:val="00EE2F15"/>
    <w:rsid w:val="00EE3F67"/>
    <w:rsid w:val="00EE474D"/>
    <w:rsid w:val="00EE7D25"/>
    <w:rsid w:val="00EF140C"/>
    <w:rsid w:val="00F221CD"/>
    <w:rsid w:val="00F32E1F"/>
    <w:rsid w:val="00F36B37"/>
    <w:rsid w:val="00F4466C"/>
    <w:rsid w:val="00F64D67"/>
    <w:rsid w:val="00F909FF"/>
    <w:rsid w:val="00FC105A"/>
    <w:rsid w:val="00FD6F05"/>
    <w:rsid w:val="00FE098A"/>
    <w:rsid w:val="00FE1761"/>
    <w:rsid w:val="0AB0D0C6"/>
    <w:rsid w:val="5D7AF45B"/>
    <w:rsid w:val="6722AD74"/>
    <w:rsid w:val="75903DFA"/>
    <w:rsid w:val="7B4EA8A1"/>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0B986"/>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8F4C9B"/>
    <w:pPr>
      <w:spacing w:after="0" w:line="240" w:lineRule="auto"/>
    </w:pPr>
  </w:style>
  <w:style w:type="character" w:styleId="Hyperlink">
    <w:name w:val="Hyperlink"/>
    <w:basedOn w:val="DefaultParagraphFont"/>
    <w:uiPriority w:val="99"/>
    <w:unhideWhenUsed/>
    <w:rsid w:val="00A05E4C"/>
    <w:rPr>
      <w:color w:val="0000FF" w:themeColor="hyperlink"/>
      <w:u w:val="single"/>
    </w:rPr>
  </w:style>
  <w:style w:type="character" w:styleId="UnresolvedMention">
    <w:name w:val="Unresolved Mention"/>
    <w:basedOn w:val="DefaultParagraphFont"/>
    <w:uiPriority w:val="99"/>
    <w:semiHidden/>
    <w:unhideWhenUsed/>
    <w:rsid w:val="009A788A"/>
    <w:rPr>
      <w:color w:val="605E5C"/>
      <w:shd w:val="clear" w:color="auto" w:fill="E1DFDD"/>
    </w:rPr>
  </w:style>
  <w:style w:type="paragraph" w:styleId="Header">
    <w:name w:val="header"/>
    <w:basedOn w:val="Normal"/>
    <w:link w:val="HeaderChar"/>
    <w:uiPriority w:val="99"/>
    <w:unhideWhenUsed/>
    <w:rsid w:val="003562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6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homas.kaempfer@ost.c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cia.gray@nuclearwasteservices.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ucy.bailey@nuclearwasteservices.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ylvie.voinis@andra.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5EE02-A71A-4194-B765-FDAB1DDA47E7}">
  <ds:schemaRefs>
    <ds:schemaRef ds:uri="http://schemas.openxmlformats.org/package/2006/metadata/core-properties"/>
    <ds:schemaRef ds:uri="http://www.w3.org/XML/1998/namespace"/>
    <ds:schemaRef ds:uri="http://purl.org/dc/dcmitype/"/>
    <ds:schemaRef ds:uri="http://purl.org/dc/terms/"/>
    <ds:schemaRef ds:uri="http://schemas.microsoft.com/office/infopath/2007/PartnerControls"/>
    <ds:schemaRef ds:uri="http://purl.org/dc/elements/1.1/"/>
    <ds:schemaRef ds:uri="http://schemas.microsoft.com/office/2006/documentManagement/types"/>
    <ds:schemaRef ds:uri="947f5427-ef21-4d0b-b5d2-e3eadf686f4e"/>
    <ds:schemaRef ds:uri="http://schemas.microsoft.com/office/2006/metadata/properties"/>
  </ds:schemaRefs>
</ds:datastoreItem>
</file>

<file path=customXml/itemProps2.xml><?xml version="1.0" encoding="utf-8"?>
<ds:datastoreItem xmlns:ds="http://schemas.openxmlformats.org/officeDocument/2006/customXml" ds:itemID="{BFDCD210-4277-47EC-AEB7-8FD4E978D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2DA9D3-59BE-4E91-ACDB-10EA14943247}">
  <ds:schemaRefs>
    <ds:schemaRef ds:uri="http://schemas.microsoft.com/sharepoint/v3/contenttype/forms"/>
  </ds:schemaRefs>
</ds:datastoreItem>
</file>

<file path=customXml/itemProps4.xml><?xml version="1.0" encoding="utf-8"?>
<ds:datastoreItem xmlns:ds="http://schemas.openxmlformats.org/officeDocument/2006/customXml" ds:itemID="{5814D654-31C5-46D7-9116-AAC64E018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600</Words>
  <Characters>3759</Characters>
  <Application>Microsoft Office Word</Application>
  <DocSecurity>0</DocSecurity>
  <Lines>59</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KWONG Gloria, NEA/PR</dc:creator>
  <cp:lastModifiedBy>MEKKI Soufiane, NEA/RWMD</cp:lastModifiedBy>
  <cp:revision>8</cp:revision>
  <dcterms:created xsi:type="dcterms:W3CDTF">2024-05-14T09:15:00Z</dcterms:created>
  <dcterms:modified xsi:type="dcterms:W3CDTF">2024-06-20T15:21:00Z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6417169B99A2ECAEFC9AC59D1600B68883ABD512A94F85CC2DEBF804D6ED4B70</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ClassificationContentMarkingHeaderShapeIds">
    <vt:lpwstr>1,2,3</vt:lpwstr>
  </property>
  <property fmtid="{D5CDD505-2E9C-101B-9397-08002B2CF9AE}" pid="6" name="ClassificationContentMarkingHeaderFontProps">
    <vt:lpwstr>#000000,10,Calibri</vt:lpwstr>
  </property>
  <property fmtid="{D5CDD505-2E9C-101B-9397-08002B2CF9AE}" pid="7" name="ClassificationContentMarkingHeaderText">
    <vt:lpwstr>OFFICIAL</vt:lpwstr>
  </property>
  <property fmtid="{D5CDD505-2E9C-101B-9397-08002B2CF9AE}" pid="8" name="MSIP_Label_19cc7ebe-3455-450c-a5d2-14ba1adb1286_Enabled">
    <vt:lpwstr>true</vt:lpwstr>
  </property>
  <property fmtid="{D5CDD505-2E9C-101B-9397-08002B2CF9AE}" pid="9" name="MSIP_Label_19cc7ebe-3455-450c-a5d2-14ba1adb1286_SetDate">
    <vt:lpwstr>2024-05-14T09:15:16Z</vt:lpwstr>
  </property>
  <property fmtid="{D5CDD505-2E9C-101B-9397-08002B2CF9AE}" pid="10" name="MSIP_Label_19cc7ebe-3455-450c-a5d2-14ba1adb1286_Method">
    <vt:lpwstr>Privileged</vt:lpwstr>
  </property>
  <property fmtid="{D5CDD505-2E9C-101B-9397-08002B2CF9AE}" pid="11" name="MSIP_Label_19cc7ebe-3455-450c-a5d2-14ba1adb1286_Name">
    <vt:lpwstr>OFFICIAL-Marking</vt:lpwstr>
  </property>
  <property fmtid="{D5CDD505-2E9C-101B-9397-08002B2CF9AE}" pid="12" name="MSIP_Label_19cc7ebe-3455-450c-a5d2-14ba1adb1286_SiteId">
    <vt:lpwstr>1929b5b6-230e-4b2e-837a-b96f0a9b1b56</vt:lpwstr>
  </property>
  <property fmtid="{D5CDD505-2E9C-101B-9397-08002B2CF9AE}" pid="13" name="MSIP_Label_19cc7ebe-3455-450c-a5d2-14ba1adb1286_ActionId">
    <vt:lpwstr>8851999d-021e-4ab0-8cd7-68e2381a171b</vt:lpwstr>
  </property>
  <property fmtid="{D5CDD505-2E9C-101B-9397-08002B2CF9AE}" pid="14" name="MSIP_Label_19cc7ebe-3455-450c-a5d2-14ba1adb1286_ContentBits">
    <vt:lpwstr>1</vt:lpwstr>
  </property>
  <property fmtid="{D5CDD505-2E9C-101B-9397-08002B2CF9AE}" pid="15" name="GrammarlyDocumentId">
    <vt:lpwstr>dbd397ce28962d4f961f78ac089a43451bb94d7755b255119891c450d6781184</vt:lpwstr>
  </property>
</Properties>
</file>