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38944" w14:textId="77777777" w:rsidR="002F5114" w:rsidRDefault="0059386D">
      <w:pPr>
        <w:spacing w:after="0"/>
        <w:ind w:left="422"/>
      </w:pPr>
      <w:r>
        <w:rPr>
          <w:b/>
          <w:color w:val="116AAF"/>
          <w:sz w:val="32"/>
        </w:rPr>
        <w:t xml:space="preserve">Integration Group for the Safety Case (IGSC) Symposium 2024 </w:t>
      </w:r>
    </w:p>
    <w:p w14:paraId="65938945" w14:textId="77777777" w:rsidR="002F5114" w:rsidRDefault="0059386D">
      <w:pPr>
        <w:spacing w:after="139"/>
        <w:ind w:left="423"/>
        <w:jc w:val="center"/>
      </w:pPr>
      <w:r>
        <w:rPr>
          <w:i/>
          <w:color w:val="116AAF"/>
        </w:rPr>
        <w:t>MOVING TOWARDS THE CONSTRUCTION OF A SAFE DGR – GETTING REAL</w:t>
      </w:r>
      <w:r>
        <w:rPr>
          <w:b/>
          <w:color w:val="116AAF"/>
        </w:rPr>
        <w:t xml:space="preserve"> </w:t>
      </w:r>
    </w:p>
    <w:tbl>
      <w:tblPr>
        <w:tblStyle w:val="TableGrid"/>
        <w:tblW w:w="8540" w:type="dxa"/>
        <w:tblInd w:w="5" w:type="dxa"/>
        <w:tblCellMar>
          <w:top w:w="108" w:type="dxa"/>
          <w:left w:w="108" w:type="dxa"/>
        </w:tblCellMar>
        <w:tblLook w:val="04A0" w:firstRow="1" w:lastRow="0" w:firstColumn="1" w:lastColumn="0" w:noHBand="0" w:noVBand="1"/>
      </w:tblPr>
      <w:tblGrid>
        <w:gridCol w:w="4177"/>
        <w:gridCol w:w="4363"/>
      </w:tblGrid>
      <w:tr w:rsidR="002F5114" w14:paraId="6593894A" w14:textId="77777777" w:rsidTr="005C57F0">
        <w:trPr>
          <w:trHeight w:val="384"/>
        </w:trPr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38948" w14:textId="00F21EA1" w:rsidR="002F5114" w:rsidRDefault="0059386D"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b/>
              </w:rPr>
              <w:t xml:space="preserve">Abstract Number:  </w:t>
            </w:r>
            <w:r w:rsidR="006C65FE">
              <w:rPr>
                <w:b/>
              </w:rPr>
              <w:t>64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38949" w14:textId="1AB68763" w:rsidR="002F5114" w:rsidRPr="00B25C53" w:rsidRDefault="00B25C53">
            <w:pPr>
              <w:rPr>
                <w:rFonts w:eastAsiaTheme="minorEastAsia"/>
              </w:rPr>
            </w:pPr>
            <w:r>
              <w:rPr>
                <w:rFonts w:cstheme="minorHAnsi"/>
                <w:b/>
                <w:color w:val="000000" w:themeColor="text1"/>
                <w:lang w:eastAsia="ja-JP"/>
              </w:rPr>
              <w:t xml:space="preserve">Session </w:t>
            </w:r>
            <w:r>
              <w:rPr>
                <w:rFonts w:eastAsiaTheme="minorEastAsia" w:cstheme="minorHAnsi" w:hint="eastAsia"/>
                <w:b/>
                <w:color w:val="000000" w:themeColor="text1"/>
              </w:rPr>
              <w:t>3.5</w:t>
            </w:r>
          </w:p>
        </w:tc>
      </w:tr>
      <w:tr w:rsidR="002F5114" w:rsidRPr="00C0127E" w14:paraId="6593894E" w14:textId="77777777" w:rsidTr="005C57F0">
        <w:trPr>
          <w:trHeight w:val="1018"/>
        </w:trPr>
        <w:tc>
          <w:tcPr>
            <w:tcW w:w="8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3894B" w14:textId="77777777" w:rsidR="002F5114" w:rsidRPr="00C0127E" w:rsidRDefault="0059386D">
            <w:pPr>
              <w:spacing w:after="38"/>
              <w:rPr>
                <w:lang w:val="fr-FR"/>
              </w:rPr>
            </w:pPr>
            <w:proofErr w:type="spellStart"/>
            <w:r w:rsidRPr="00C0127E">
              <w:rPr>
                <w:b/>
                <w:lang w:val="fr-FR"/>
              </w:rPr>
              <w:t>Author</w:t>
            </w:r>
            <w:proofErr w:type="spellEnd"/>
            <w:r w:rsidRPr="00C0127E">
              <w:rPr>
                <w:b/>
                <w:lang w:val="fr-FR"/>
              </w:rPr>
              <w:t xml:space="preserve"> :  </w:t>
            </w:r>
          </w:p>
          <w:p w14:paraId="6593894C" w14:textId="6EEB0F2E" w:rsidR="002F5114" w:rsidRPr="00C0127E" w:rsidRDefault="0059386D">
            <w:pPr>
              <w:spacing w:after="38"/>
              <w:rPr>
                <w:lang w:val="fr-FR"/>
              </w:rPr>
            </w:pPr>
            <w:r w:rsidRPr="00C0127E">
              <w:rPr>
                <w:u w:val="single"/>
                <w:lang w:val="fr-FR"/>
              </w:rPr>
              <w:t>S</w:t>
            </w:r>
            <w:r w:rsidR="00C0127E" w:rsidRPr="00C0127E">
              <w:rPr>
                <w:u w:val="single"/>
                <w:lang w:val="fr-FR"/>
              </w:rPr>
              <w:t>ylvie</w:t>
            </w:r>
            <w:r w:rsidRPr="00C0127E">
              <w:rPr>
                <w:u w:val="single"/>
                <w:lang w:val="fr-FR"/>
              </w:rPr>
              <w:t>.Voinis</w:t>
            </w:r>
            <w:proofErr w:type="gramStart"/>
            <w:r w:rsidR="00C0127E" w:rsidRPr="00C0127E">
              <w:rPr>
                <w:u w:val="single"/>
                <w:vertAlign w:val="superscript"/>
                <w:lang w:val="fr-FR"/>
              </w:rPr>
              <w:t>1</w:t>
            </w:r>
            <w:r w:rsidR="00C0127E">
              <w:rPr>
                <w:u w:val="single"/>
                <w:vertAlign w:val="superscript"/>
                <w:lang w:val="fr-FR"/>
              </w:rPr>
              <w:t xml:space="preserve">  </w:t>
            </w:r>
            <w:r w:rsidR="00C0127E">
              <w:rPr>
                <w:lang w:val="fr-FR"/>
              </w:rPr>
              <w:t>(</w:t>
            </w:r>
            <w:proofErr w:type="gramEnd"/>
            <w:r w:rsidR="00000000">
              <w:fldChar w:fldCharType="begin"/>
            </w:r>
            <w:r w:rsidR="00000000" w:rsidRPr="00887844">
              <w:rPr>
                <w:lang w:val="fr-FR"/>
              </w:rPr>
              <w:instrText>HYPERLINK "mailto:sylvie.voinis@andra.fr"</w:instrText>
            </w:r>
            <w:r w:rsidR="00000000">
              <w:fldChar w:fldCharType="separate"/>
            </w:r>
            <w:r w:rsidR="00C0127E" w:rsidRPr="00546B52">
              <w:rPr>
                <w:rStyle w:val="Hyperlink"/>
                <w:lang w:val="fr-FR"/>
              </w:rPr>
              <w:t>sylvie.voinis@andra.fr</w:t>
            </w:r>
            <w:r w:rsidR="00000000">
              <w:rPr>
                <w:rStyle w:val="Hyperlink"/>
                <w:lang w:val="fr-FR"/>
              </w:rPr>
              <w:fldChar w:fldCharType="end"/>
            </w:r>
            <w:r w:rsidR="00C0127E">
              <w:rPr>
                <w:lang w:val="fr-FR"/>
              </w:rPr>
              <w:t xml:space="preserve">) </w:t>
            </w:r>
            <w:r w:rsidRPr="00C0127E">
              <w:rPr>
                <w:lang w:val="fr-FR"/>
              </w:rPr>
              <w:t>, F</w:t>
            </w:r>
            <w:r w:rsidR="00C0127E" w:rsidRPr="00C0127E">
              <w:rPr>
                <w:lang w:val="fr-FR"/>
              </w:rPr>
              <w:t>rédéric</w:t>
            </w:r>
            <w:r w:rsidRPr="00C0127E">
              <w:rPr>
                <w:lang w:val="fr-FR"/>
              </w:rPr>
              <w:t>.Plas</w:t>
            </w:r>
            <w:r w:rsidR="00C0127E" w:rsidRPr="00C0127E">
              <w:rPr>
                <w:vertAlign w:val="superscript"/>
                <w:lang w:val="fr-FR"/>
              </w:rPr>
              <w:t>1</w:t>
            </w:r>
            <w:r w:rsidR="00C0127E">
              <w:rPr>
                <w:vertAlign w:val="superscript"/>
                <w:lang w:val="fr-FR"/>
              </w:rPr>
              <w:t xml:space="preserve"> </w:t>
            </w:r>
            <w:r w:rsidR="00C0127E">
              <w:rPr>
                <w:lang w:val="fr-FR"/>
              </w:rPr>
              <w:t>(</w:t>
            </w:r>
            <w:hyperlink r:id="rId9" w:history="1">
              <w:r w:rsidR="00C0127E" w:rsidRPr="00546B52">
                <w:rPr>
                  <w:rStyle w:val="Hyperlink"/>
                  <w:lang w:val="fr-FR"/>
                </w:rPr>
                <w:t>frédéric.plas@andra.fr</w:t>
              </w:r>
            </w:hyperlink>
            <w:r w:rsidR="00C0127E">
              <w:rPr>
                <w:lang w:val="fr-FR"/>
              </w:rPr>
              <w:t xml:space="preserve">) </w:t>
            </w:r>
            <w:r w:rsidRPr="00C0127E">
              <w:rPr>
                <w:lang w:val="fr-FR"/>
              </w:rPr>
              <w:t>, M</w:t>
            </w:r>
            <w:r w:rsidR="00C0127E" w:rsidRPr="00C0127E">
              <w:rPr>
                <w:lang w:val="fr-FR"/>
              </w:rPr>
              <w:t>arine</w:t>
            </w:r>
            <w:r w:rsidRPr="00C0127E">
              <w:rPr>
                <w:lang w:val="fr-FR"/>
              </w:rPr>
              <w:t>.Levieux</w:t>
            </w:r>
            <w:r w:rsidR="00C0127E" w:rsidRPr="00C0127E">
              <w:rPr>
                <w:vertAlign w:val="superscript"/>
                <w:lang w:val="fr-FR"/>
              </w:rPr>
              <w:t>1</w:t>
            </w:r>
            <w:r w:rsidRPr="00C0127E">
              <w:rPr>
                <w:lang w:val="fr-FR"/>
              </w:rPr>
              <w:t xml:space="preserve">  </w:t>
            </w:r>
            <w:r w:rsidR="00C0127E">
              <w:rPr>
                <w:lang w:val="fr-FR"/>
              </w:rPr>
              <w:t>(marine.levieux@andra.fr)</w:t>
            </w:r>
          </w:p>
          <w:p w14:paraId="6593894D" w14:textId="653498AD" w:rsidR="00C0127E" w:rsidRPr="00C0127E" w:rsidRDefault="00C0127E" w:rsidP="0018564E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proofErr w:type="spellStart"/>
            <w:r w:rsidRPr="00C0127E">
              <w:rPr>
                <w:bCs/>
                <w:lang w:val="fr-FR"/>
              </w:rPr>
              <w:t>Andra</w:t>
            </w:r>
            <w:proofErr w:type="spellEnd"/>
            <w:r w:rsidR="00037A13">
              <w:rPr>
                <w:bCs/>
                <w:lang w:val="fr-FR"/>
              </w:rPr>
              <w:t>, France</w:t>
            </w:r>
          </w:p>
        </w:tc>
      </w:tr>
      <w:tr w:rsidR="002F5114" w14:paraId="65938951" w14:textId="77777777" w:rsidTr="005C57F0">
        <w:trPr>
          <w:trHeight w:val="960"/>
        </w:trPr>
        <w:tc>
          <w:tcPr>
            <w:tcW w:w="8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3894F" w14:textId="77777777" w:rsidR="002F5114" w:rsidRDefault="0059386D">
            <w:pPr>
              <w:spacing w:after="38"/>
            </w:pPr>
            <w:r>
              <w:rPr>
                <w:b/>
              </w:rPr>
              <w:t xml:space="preserve">Abstract Title: </w:t>
            </w:r>
          </w:p>
          <w:p w14:paraId="65938950" w14:textId="77777777" w:rsidR="002F5114" w:rsidRDefault="0059386D">
            <w:pPr>
              <w:jc w:val="both"/>
            </w:pPr>
            <w:r>
              <w:t xml:space="preserve">Submission of the application for authorization to create </w:t>
            </w:r>
            <w:proofErr w:type="spellStart"/>
            <w:proofErr w:type="gramStart"/>
            <w:r>
              <w:t>Cigéo</w:t>
            </w:r>
            <w:proofErr w:type="spellEnd"/>
            <w:r>
              <w:t xml:space="preserve">  the</w:t>
            </w:r>
            <w:proofErr w:type="gramEnd"/>
            <w:r>
              <w:t xml:space="preserve"> result of “one generation study“: where do we come from  ? where do we stand?  </w:t>
            </w:r>
          </w:p>
        </w:tc>
      </w:tr>
      <w:tr w:rsidR="002F5114" w14:paraId="65938959" w14:textId="77777777" w:rsidTr="005C57F0">
        <w:trPr>
          <w:trHeight w:val="2852"/>
        </w:trPr>
        <w:tc>
          <w:tcPr>
            <w:tcW w:w="8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38952" w14:textId="77777777" w:rsidR="002F5114" w:rsidRDefault="0059386D">
            <w:pPr>
              <w:spacing w:after="113"/>
            </w:pPr>
            <w:r>
              <w:rPr>
                <w:b/>
              </w:rPr>
              <w:t xml:space="preserve">Abstract (300-500 words): </w:t>
            </w:r>
          </w:p>
          <w:p w14:paraId="65938953" w14:textId="759CE888" w:rsidR="002F5114" w:rsidRDefault="0059386D" w:rsidP="00FB0D66">
            <w:pPr>
              <w:spacing w:line="217" w:lineRule="auto"/>
              <w:ind w:right="108"/>
              <w:jc w:val="both"/>
            </w:pPr>
            <w:r>
              <w:t>On January 16</w:t>
            </w:r>
            <w:r>
              <w:rPr>
                <w:vertAlign w:val="superscript"/>
              </w:rPr>
              <w:t xml:space="preserve">th </w:t>
            </w:r>
            <w:r>
              <w:t>of 2023, the French National Radioactive Waste Management Agency (Andra) submitted the construction license application (</w:t>
            </w:r>
            <w:r w:rsidR="00786D52">
              <w:t>called in French “</w:t>
            </w:r>
            <w:proofErr w:type="spellStart"/>
            <w:r w:rsidR="00786D52">
              <w:t>Demande</w:t>
            </w:r>
            <w:proofErr w:type="spellEnd"/>
            <w:r w:rsidR="00786D52">
              <w:t xml:space="preserve"> </w:t>
            </w:r>
            <w:proofErr w:type="spellStart"/>
            <w:r w:rsidR="00786D52">
              <w:t>d’autorisation</w:t>
            </w:r>
            <w:proofErr w:type="spellEnd"/>
            <w:r w:rsidR="00786D52">
              <w:t xml:space="preserve"> de </w:t>
            </w:r>
            <w:proofErr w:type="spellStart"/>
            <w:r w:rsidR="0034513E">
              <w:t>création</w:t>
            </w:r>
            <w:proofErr w:type="spellEnd"/>
            <w:r w:rsidR="0034513E">
              <w:t>” and named “</w:t>
            </w:r>
            <w:r>
              <w:t>DAC</w:t>
            </w:r>
            <w:r w:rsidR="00786D52">
              <w:t>”</w:t>
            </w:r>
            <w:r>
              <w:t xml:space="preserve">) of the French project for the deep geological disposal </w:t>
            </w:r>
            <w:r w:rsidR="0034513E">
              <w:t xml:space="preserve">(DGR) </w:t>
            </w:r>
            <w:r>
              <w:t>facilities so called “</w:t>
            </w:r>
            <w:proofErr w:type="spellStart"/>
            <w:r>
              <w:t>Cigeo</w:t>
            </w:r>
            <w:proofErr w:type="spellEnd"/>
            <w:r>
              <w:t>”. This is a crucial step marking both a culmination and a new start for the project with the upcoming review by the French Nuclear Safety Authority (</w:t>
            </w:r>
            <w:r w:rsidR="00C0127E">
              <w:t>“ASN”)</w:t>
            </w:r>
            <w:r>
              <w:t xml:space="preserve">: </w:t>
            </w:r>
            <w:proofErr w:type="spellStart"/>
            <w:r>
              <w:t>Cigeo</w:t>
            </w:r>
            <w:proofErr w:type="spellEnd"/>
            <w:r>
              <w:t xml:space="preserve"> is getting ready for the initial construction phase and Andra is becoming the operator. The objective is to obtain the construction authorization decree </w:t>
            </w:r>
            <w:r w:rsidR="00C0127E">
              <w:t>to start the initial construction</w:t>
            </w:r>
            <w:r w:rsidR="0034513E">
              <w:t xml:space="preserve">, the two surface facilities and </w:t>
            </w:r>
            <w:r w:rsidR="00C0127E">
              <w:t xml:space="preserve">of the first unit of the underground facility, </w:t>
            </w:r>
            <w:proofErr w:type="spellStart"/>
            <w:r w:rsidR="00C0127E">
              <w:t>Cigéo</w:t>
            </w:r>
            <w:proofErr w:type="spellEnd"/>
            <w:r w:rsidR="00C0127E">
              <w:t xml:space="preserve"> developing gradually by successive units during the operation phase</w:t>
            </w:r>
            <w:r>
              <w:t xml:space="preserve">. If </w:t>
            </w:r>
            <w:proofErr w:type="spellStart"/>
            <w:r>
              <w:t>Cigéo</w:t>
            </w:r>
            <w:proofErr w:type="spellEnd"/>
            <w:r>
              <w:t xml:space="preserve"> is designed for a </w:t>
            </w:r>
            <w:r w:rsidR="00C0127E">
              <w:t>so called “</w:t>
            </w:r>
            <w:r>
              <w:t>reference radwaste inventory</w:t>
            </w:r>
            <w:r w:rsidR="00C0127E">
              <w:t>”</w:t>
            </w:r>
            <w:r>
              <w:t xml:space="preserve">, </w:t>
            </w:r>
            <w:r w:rsidR="00C0127E">
              <w:t>“</w:t>
            </w:r>
            <w:proofErr w:type="gramStart"/>
            <w:r w:rsidR="00C0127E">
              <w:t>DAC”</w:t>
            </w:r>
            <w:r>
              <w:t xml:space="preserve"> </w:t>
            </w:r>
            <w:r w:rsidR="0032529E">
              <w:t xml:space="preserve"> also</w:t>
            </w:r>
            <w:proofErr w:type="gramEnd"/>
            <w:r w:rsidR="0032529E">
              <w:t xml:space="preserve"> </w:t>
            </w:r>
            <w:r>
              <w:t xml:space="preserve">includes a demonstration of the adaptability of </w:t>
            </w:r>
            <w:proofErr w:type="spellStart"/>
            <w:r>
              <w:t>Cigéo</w:t>
            </w:r>
            <w:proofErr w:type="spellEnd"/>
            <w:r>
              <w:t xml:space="preserve"> to changes in radwaste inventory linked to possible </w:t>
            </w:r>
            <w:r w:rsidR="0034513E">
              <w:t xml:space="preserve">evolution </w:t>
            </w:r>
            <w:r>
              <w:t xml:space="preserve">in French energy policy, based on a </w:t>
            </w:r>
            <w:r w:rsidR="00C0127E">
              <w:t>so called “</w:t>
            </w:r>
            <w:r>
              <w:t>reserve radwaste inventory</w:t>
            </w:r>
            <w:r w:rsidR="00C0127E">
              <w:t>”</w:t>
            </w:r>
            <w:r>
              <w:t xml:space="preserve">. </w:t>
            </w:r>
          </w:p>
          <w:p w14:paraId="316F004F" w14:textId="77777777" w:rsidR="00FB0D66" w:rsidRDefault="00FB0D66" w:rsidP="00FB0D66">
            <w:pPr>
              <w:spacing w:line="216" w:lineRule="auto"/>
              <w:ind w:right="108"/>
              <w:jc w:val="both"/>
            </w:pPr>
          </w:p>
          <w:p w14:paraId="65938954" w14:textId="08EAC407" w:rsidR="002F5114" w:rsidRDefault="0059386D" w:rsidP="00FB0D66">
            <w:pPr>
              <w:spacing w:line="217" w:lineRule="auto"/>
              <w:ind w:right="108"/>
              <w:jc w:val="both"/>
            </w:pPr>
            <w:r>
              <w:t xml:space="preserve">First and foremost, </w:t>
            </w:r>
            <w:r w:rsidR="0034513E">
              <w:t>“</w:t>
            </w:r>
            <w:r>
              <w:t>DAC</w:t>
            </w:r>
            <w:r w:rsidR="0034513E">
              <w:t>”</w:t>
            </w:r>
            <w:r>
              <w:t xml:space="preserve"> is the result of more than 30 years of a step by step and progressive development of </w:t>
            </w:r>
            <w:proofErr w:type="spellStart"/>
            <w:r>
              <w:t>Cigéo</w:t>
            </w:r>
            <w:proofErr w:type="spellEnd"/>
            <w:r>
              <w:t xml:space="preserve"> under regular national and international reviews (e.g. submission on feasibility in 2005, choice of site in 2009, safety options in 2015).   </w:t>
            </w:r>
          </w:p>
          <w:p w14:paraId="500967CD" w14:textId="77777777" w:rsidR="00FB0D66" w:rsidRDefault="00FB0D66" w:rsidP="00FB0D66">
            <w:pPr>
              <w:spacing w:line="217" w:lineRule="auto"/>
              <w:ind w:right="108"/>
              <w:jc w:val="both"/>
            </w:pPr>
          </w:p>
          <w:p w14:paraId="65938955" w14:textId="4E954874" w:rsidR="002F5114" w:rsidRPr="00FB0D66" w:rsidRDefault="0059386D" w:rsidP="00FB0D66">
            <w:pPr>
              <w:spacing w:line="217" w:lineRule="auto"/>
              <w:ind w:right="108"/>
              <w:jc w:val="both"/>
            </w:pPr>
            <w:r w:rsidRPr="00FB0D66">
              <w:t xml:space="preserve">The DAC documentation </w:t>
            </w:r>
            <w:r w:rsidR="00781983" w:rsidRPr="00FB0D66">
              <w:t>(23 reports plus many technical, scientific and safety supporting documents</w:t>
            </w:r>
            <w:r w:rsidR="00781983" w:rsidRPr="0018564E">
              <w:rPr>
                <w:rFonts w:asciiTheme="minorHAnsi" w:hAnsiTheme="minorHAnsi" w:cstheme="minorHAnsi"/>
              </w:rPr>
              <w:t xml:space="preserve">) </w:t>
            </w:r>
            <w:r w:rsidR="000C5712">
              <w:rPr>
                <w:rFonts w:asciiTheme="minorHAnsi" w:hAnsiTheme="minorHAnsi" w:cstheme="minorHAnsi"/>
              </w:rPr>
              <w:t>including</w:t>
            </w:r>
            <w:r w:rsidRPr="0018564E">
              <w:rPr>
                <w:rFonts w:asciiTheme="minorHAnsi" w:hAnsiTheme="minorHAnsi" w:cstheme="minorHAnsi"/>
              </w:rPr>
              <w:t xml:space="preserve"> the safety case</w:t>
            </w:r>
            <w:r w:rsidR="0018564E">
              <w:rPr>
                <w:rFonts w:asciiTheme="minorHAnsi" w:hAnsiTheme="minorHAnsi" w:cstheme="minorHAnsi"/>
              </w:rPr>
              <w:t xml:space="preserve"> r</w:t>
            </w:r>
            <w:r w:rsidRPr="0018564E">
              <w:rPr>
                <w:rFonts w:asciiTheme="minorHAnsi" w:hAnsiTheme="minorHAnsi" w:cstheme="minorHAnsi"/>
              </w:rPr>
              <w:t xml:space="preserve">eport </w:t>
            </w:r>
            <w:r w:rsidR="000C5712">
              <w:rPr>
                <w:rFonts w:asciiTheme="minorHAnsi" w:hAnsiTheme="minorHAnsi" w:cstheme="minorHAnsi"/>
              </w:rPr>
              <w:t xml:space="preserve">that </w:t>
            </w:r>
            <w:r w:rsidRPr="0018564E">
              <w:rPr>
                <w:rFonts w:asciiTheme="minorHAnsi" w:hAnsiTheme="minorHAnsi" w:cstheme="minorHAnsi"/>
              </w:rPr>
              <w:t>result</w:t>
            </w:r>
            <w:r w:rsidR="000C5712">
              <w:rPr>
                <w:rFonts w:asciiTheme="minorHAnsi" w:hAnsiTheme="minorHAnsi" w:cstheme="minorHAnsi"/>
              </w:rPr>
              <w:t>s</w:t>
            </w:r>
            <w:r w:rsidRPr="0018564E">
              <w:rPr>
                <w:rFonts w:asciiTheme="minorHAnsi" w:hAnsiTheme="minorHAnsi" w:cstheme="minorHAnsi"/>
              </w:rPr>
              <w:t xml:space="preserve"> on </w:t>
            </w:r>
            <w:r w:rsidR="00786D52" w:rsidRPr="0018564E">
              <w:rPr>
                <w:rFonts w:asciiTheme="minorHAnsi" w:hAnsiTheme="minorHAnsi" w:cstheme="minorHAnsi"/>
              </w:rPr>
              <w:t xml:space="preserve">many </w:t>
            </w:r>
            <w:r w:rsidRPr="0018564E">
              <w:rPr>
                <w:rFonts w:asciiTheme="minorHAnsi" w:hAnsiTheme="minorHAnsi" w:cstheme="minorHAnsi"/>
              </w:rPr>
              <w:t xml:space="preserve">successive </w:t>
            </w:r>
            <w:r w:rsidR="00786D52" w:rsidRPr="0018564E">
              <w:rPr>
                <w:rFonts w:asciiTheme="minorHAnsi" w:hAnsiTheme="minorHAnsi" w:cstheme="minorHAnsi"/>
              </w:rPr>
              <w:t>iterations between scientific knowledge, design development and safety assessments</w:t>
            </w:r>
            <w:r w:rsidR="00C42647" w:rsidRPr="0018564E">
              <w:rPr>
                <w:rFonts w:asciiTheme="minorHAnsi" w:hAnsiTheme="minorHAnsi" w:cstheme="minorHAnsi"/>
              </w:rPr>
              <w:t xml:space="preserve"> </w:t>
            </w:r>
            <w:r w:rsidR="00786D52" w:rsidRPr="0018564E">
              <w:rPr>
                <w:rFonts w:asciiTheme="minorHAnsi" w:hAnsiTheme="minorHAnsi" w:cstheme="minorHAnsi"/>
              </w:rPr>
              <w:t xml:space="preserve">that were </w:t>
            </w:r>
            <w:r w:rsidRPr="0018564E">
              <w:rPr>
                <w:rFonts w:asciiTheme="minorHAnsi" w:hAnsiTheme="minorHAnsi" w:cstheme="minorHAnsi"/>
              </w:rPr>
              <w:t xml:space="preserve">performed over time. Each one responded to a specific objective connected with a key stage in the gradual development of the DGR: basic reference rules and initial options; license for construction and operation of the French Underground Research Laboratory (Bure URL) in the </w:t>
            </w:r>
            <w:proofErr w:type="spellStart"/>
            <w:r w:rsidRPr="0018564E">
              <w:rPr>
                <w:rFonts w:asciiTheme="minorHAnsi" w:hAnsiTheme="minorHAnsi" w:cstheme="minorHAnsi"/>
              </w:rPr>
              <w:t>Callovo</w:t>
            </w:r>
            <w:proofErr w:type="spellEnd"/>
            <w:r w:rsidRPr="0018564E">
              <w:rPr>
                <w:rFonts w:asciiTheme="minorHAnsi" w:hAnsiTheme="minorHAnsi" w:cstheme="minorHAnsi"/>
              </w:rPr>
              <w:t xml:space="preserve">-Oxfordian clay formation at the Meuse/Haute-Marne site in the eastern part of Paris basin; feasibility demonstration of DGR in the clay formation within an area about 250 km² around the bure URL; precise siting of the underground facility within this area and location of the above-ground facilities, safety options; license submission </w:t>
            </w:r>
            <w:r w:rsidRPr="00FB0D66">
              <w:t xml:space="preserve">for initial construction. </w:t>
            </w:r>
          </w:p>
          <w:p w14:paraId="13507460" w14:textId="77777777" w:rsidR="00FB0D66" w:rsidRDefault="00FB0D66" w:rsidP="00FB0D66">
            <w:pPr>
              <w:spacing w:line="217" w:lineRule="auto"/>
              <w:ind w:right="108"/>
              <w:jc w:val="both"/>
            </w:pPr>
          </w:p>
          <w:p w14:paraId="65938956" w14:textId="13DFFF43" w:rsidR="002F5114" w:rsidRDefault="0059386D" w:rsidP="00FB0D66">
            <w:pPr>
              <w:spacing w:line="217" w:lineRule="auto"/>
              <w:ind w:right="108"/>
              <w:jc w:val="both"/>
            </w:pPr>
            <w:r>
              <w:t xml:space="preserve">The first part of the paper will explain where the submission of the DAC comes from: how the safety case has evolved according to the progress in the knowledge and the design evolution (sketch, basic design, detailed design) </w:t>
            </w:r>
            <w:proofErr w:type="gramStart"/>
            <w:r>
              <w:t>according  to</w:t>
            </w:r>
            <w:proofErr w:type="gramEnd"/>
            <w:r>
              <w:t xml:space="preserve"> the objectives of each key stage. For </w:t>
            </w:r>
            <w:proofErr w:type="gramStart"/>
            <w:r>
              <w:t>instance</w:t>
            </w:r>
            <w:proofErr w:type="gramEnd"/>
            <w:r>
              <w:t xml:space="preserve"> at the DAC stage, the safety case is providing a complete nuclear safety demonstration covering operation, dismantling and closure, and post closure long term. </w:t>
            </w:r>
            <w:proofErr w:type="gramStart"/>
            <w:r>
              <w:t>In particular, it</w:t>
            </w:r>
            <w:proofErr w:type="gramEnd"/>
            <w:r>
              <w:t xml:space="preserve"> defines and deals with accidents that could occur during operation: types of accidents, potential effects, measures for preventing them or reducing their likelihood and their impact…  </w:t>
            </w:r>
            <w:r w:rsidR="00786D52">
              <w:t xml:space="preserve">Its provides also the safety demonstration (arguments including the risk and residual uncertainties </w:t>
            </w:r>
            <w:proofErr w:type="gramStart"/>
            <w:r w:rsidR="00786D52">
              <w:t>analysis ,</w:t>
            </w:r>
            <w:proofErr w:type="gramEnd"/>
            <w:r w:rsidR="00786D52">
              <w:t xml:space="preserve"> performance and impacts assessments of post closure scenarios such as normal evolution, </w:t>
            </w:r>
            <w:proofErr w:type="spellStart"/>
            <w:r w:rsidR="00786D52">
              <w:t>alterated</w:t>
            </w:r>
            <w:proofErr w:type="spellEnd"/>
            <w:r w:rsidR="00786D52">
              <w:t>, What-if and inadvertent human intrusion)</w:t>
            </w:r>
            <w:r w:rsidR="00194261">
              <w:t>.</w:t>
            </w:r>
            <w:r w:rsidR="00786D52">
              <w:t xml:space="preserve"> </w:t>
            </w:r>
          </w:p>
          <w:p w14:paraId="758BC291" w14:textId="77777777" w:rsidR="00FB0D66" w:rsidRDefault="00FB0D66" w:rsidP="00FB0D66">
            <w:pPr>
              <w:spacing w:line="217" w:lineRule="auto"/>
              <w:ind w:right="108"/>
              <w:jc w:val="both"/>
            </w:pPr>
          </w:p>
          <w:p w14:paraId="65938957" w14:textId="1038FE98" w:rsidR="002F5114" w:rsidRDefault="0059386D" w:rsidP="00FB0D66">
            <w:pPr>
              <w:spacing w:line="217" w:lineRule="auto"/>
              <w:ind w:right="108"/>
              <w:jc w:val="both"/>
            </w:pPr>
            <w:r>
              <w:t xml:space="preserve">The second part of the paper will </w:t>
            </w:r>
            <w:proofErr w:type="spellStart"/>
            <w:r>
              <w:t>explain</w:t>
            </w:r>
            <w:r w:rsidR="00194261">
              <w:t>the</w:t>
            </w:r>
            <w:proofErr w:type="spellEnd"/>
            <w:r w:rsidR="00194261">
              <w:t xml:space="preserve"> </w:t>
            </w:r>
            <w:proofErr w:type="gramStart"/>
            <w:r w:rsidR="00194261">
              <w:t>current status</w:t>
            </w:r>
            <w:proofErr w:type="gramEnd"/>
            <w:r w:rsidR="00194261">
              <w:t xml:space="preserve"> of the </w:t>
            </w:r>
            <w:proofErr w:type="spellStart"/>
            <w:r w:rsidR="00194261">
              <w:t>Cigéo</w:t>
            </w:r>
            <w:proofErr w:type="spellEnd"/>
            <w:r w:rsidR="00194261">
              <w:t xml:space="preserve"> project</w:t>
            </w:r>
            <w:r w:rsidR="00781983">
              <w:t>,</w:t>
            </w:r>
            <w:r w:rsidR="00194261">
              <w:t xml:space="preserve"> in particular</w:t>
            </w:r>
            <w:r>
              <w:t>, how Andra is organized to manage the national review</w:t>
            </w:r>
            <w:r w:rsidR="00781983">
              <w:t xml:space="preserve"> and to prepare the initial constru</w:t>
            </w:r>
            <w:r w:rsidR="00B5087B">
              <w:t>c</w:t>
            </w:r>
            <w:r w:rsidR="00781983">
              <w:t>tion</w:t>
            </w:r>
            <w:r>
              <w:t xml:space="preserve">. </w:t>
            </w:r>
          </w:p>
          <w:p w14:paraId="518099F9" w14:textId="77777777" w:rsidR="00FB0D66" w:rsidRDefault="00FB0D66" w:rsidP="00FB0D66">
            <w:pPr>
              <w:spacing w:line="217" w:lineRule="auto"/>
              <w:ind w:right="108"/>
              <w:jc w:val="both"/>
            </w:pPr>
          </w:p>
          <w:p w14:paraId="65938958" w14:textId="0DB41B1B" w:rsidR="002F5114" w:rsidRDefault="0059386D" w:rsidP="00FB0D66">
            <w:pPr>
              <w:spacing w:line="217" w:lineRule="auto"/>
              <w:ind w:right="108"/>
              <w:jc w:val="both"/>
            </w:pPr>
            <w:r>
              <w:t xml:space="preserve">In conclusion, the paper will highlight both the progressive development of </w:t>
            </w:r>
            <w:proofErr w:type="spellStart"/>
            <w:r>
              <w:t>Cigéo</w:t>
            </w:r>
            <w:proofErr w:type="spellEnd"/>
            <w:r>
              <w:t xml:space="preserve"> once it is authorized, and the evolution of Andra organization and skill already engaged to prepare the initial construction, then construct </w:t>
            </w:r>
            <w:proofErr w:type="spellStart"/>
            <w:r>
              <w:t>Cigéo</w:t>
            </w:r>
            <w:proofErr w:type="spellEnd"/>
            <w:r>
              <w:t xml:space="preserve">, obtain the commissioning authorization and finally start the operation. </w:t>
            </w:r>
          </w:p>
        </w:tc>
      </w:tr>
    </w:tbl>
    <w:p w14:paraId="6593896B" w14:textId="3757A3A9" w:rsidR="002F5114" w:rsidRPr="003D15D0" w:rsidRDefault="0059386D" w:rsidP="005C57F0">
      <w:pPr>
        <w:spacing w:after="38"/>
        <w:ind w:left="113"/>
        <w:rPr>
          <w:lang w:val="de-DE"/>
        </w:rPr>
      </w:pPr>
      <w:r>
        <w:rPr>
          <w:b/>
        </w:rPr>
        <w:lastRenderedPageBreak/>
        <w:t xml:space="preserve"> </w:t>
      </w:r>
    </w:p>
    <w:sectPr w:rsidR="002F5114" w:rsidRPr="003D15D0">
      <w:pgSz w:w="11904" w:h="16840"/>
      <w:pgMar w:top="1505" w:right="1862" w:bottom="168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F083E"/>
    <w:multiLevelType w:val="hybridMultilevel"/>
    <w:tmpl w:val="E4DEB80A"/>
    <w:lvl w:ilvl="0" w:tplc="D10C449E">
      <w:start w:val="1"/>
      <w:numFmt w:val="bullet"/>
      <w:lvlText w:val=""/>
      <w:lvlJc w:val="left"/>
      <w:pPr>
        <w:ind w:left="7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54A264">
      <w:start w:val="1"/>
      <w:numFmt w:val="bullet"/>
      <w:lvlText w:val="o"/>
      <w:lvlJc w:val="left"/>
      <w:pPr>
        <w:ind w:left="1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640D16">
      <w:start w:val="1"/>
      <w:numFmt w:val="bullet"/>
      <w:lvlText w:val="▪"/>
      <w:lvlJc w:val="left"/>
      <w:pPr>
        <w:ind w:left="22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96E62C">
      <w:start w:val="1"/>
      <w:numFmt w:val="bullet"/>
      <w:lvlText w:val="•"/>
      <w:lvlJc w:val="left"/>
      <w:pPr>
        <w:ind w:left="29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C64FA4">
      <w:start w:val="1"/>
      <w:numFmt w:val="bullet"/>
      <w:lvlText w:val="o"/>
      <w:lvlJc w:val="left"/>
      <w:pPr>
        <w:ind w:left="3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89EDA">
      <w:start w:val="1"/>
      <w:numFmt w:val="bullet"/>
      <w:lvlText w:val="▪"/>
      <w:lvlJc w:val="left"/>
      <w:pPr>
        <w:ind w:left="4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96E800">
      <w:start w:val="1"/>
      <w:numFmt w:val="bullet"/>
      <w:lvlText w:val="•"/>
      <w:lvlJc w:val="left"/>
      <w:pPr>
        <w:ind w:left="5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9C3ACC">
      <w:start w:val="1"/>
      <w:numFmt w:val="bullet"/>
      <w:lvlText w:val="o"/>
      <w:lvlJc w:val="left"/>
      <w:pPr>
        <w:ind w:left="5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503168">
      <w:start w:val="1"/>
      <w:numFmt w:val="bullet"/>
      <w:lvlText w:val="▪"/>
      <w:lvlJc w:val="left"/>
      <w:pPr>
        <w:ind w:left="6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70F44A0"/>
    <w:multiLevelType w:val="hybridMultilevel"/>
    <w:tmpl w:val="AA9C9732"/>
    <w:lvl w:ilvl="0" w:tplc="50205120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num w:numId="1" w16cid:durableId="1276211395">
    <w:abstractNumId w:val="0"/>
  </w:num>
  <w:num w:numId="2" w16cid:durableId="1209495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ECDDocumentId" w:val="9E71E326C8DC3859FED47F052E06068F3356B0C5002CB7238DDBB21CB4844355"/>
  </w:docVars>
  <w:rsids>
    <w:rsidRoot w:val="002F5114"/>
    <w:rsid w:val="00037A13"/>
    <w:rsid w:val="000C5712"/>
    <w:rsid w:val="000F15B0"/>
    <w:rsid w:val="0018564E"/>
    <w:rsid w:val="00194261"/>
    <w:rsid w:val="00292072"/>
    <w:rsid w:val="002A16CB"/>
    <w:rsid w:val="002F5114"/>
    <w:rsid w:val="0032529E"/>
    <w:rsid w:val="0034513E"/>
    <w:rsid w:val="003D15D0"/>
    <w:rsid w:val="0059386D"/>
    <w:rsid w:val="005C57F0"/>
    <w:rsid w:val="006352A2"/>
    <w:rsid w:val="006C65FE"/>
    <w:rsid w:val="00745825"/>
    <w:rsid w:val="00781983"/>
    <w:rsid w:val="00786D52"/>
    <w:rsid w:val="007E7130"/>
    <w:rsid w:val="007F270D"/>
    <w:rsid w:val="007F64B2"/>
    <w:rsid w:val="008522CF"/>
    <w:rsid w:val="00887844"/>
    <w:rsid w:val="00B25C53"/>
    <w:rsid w:val="00B5087B"/>
    <w:rsid w:val="00C0127E"/>
    <w:rsid w:val="00C42647"/>
    <w:rsid w:val="00C55D3A"/>
    <w:rsid w:val="00CA44E1"/>
    <w:rsid w:val="00CA5CAB"/>
    <w:rsid w:val="00D534EA"/>
    <w:rsid w:val="00DD7000"/>
    <w:rsid w:val="00F55F6E"/>
    <w:rsid w:val="00FB0D66"/>
    <w:rsid w:val="00FB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38944"/>
  <w15:docId w15:val="{404188FE-B723-41C0-80C7-37F48F7D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252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52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529E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52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529E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32529E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C012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12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127E"/>
    <w:rPr>
      <w:color w:val="605E5C"/>
      <w:shd w:val="clear" w:color="auto" w:fill="E1DFDD"/>
    </w:rPr>
  </w:style>
  <w:style w:type="paragraph" w:customStyle="1" w:styleId="pf0">
    <w:name w:val="pf0"/>
    <w:basedOn w:val="Normal"/>
    <w:rsid w:val="00786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en-US" w:eastAsia="en-US"/>
      <w14:ligatures w14:val="none"/>
    </w:rPr>
  </w:style>
  <w:style w:type="character" w:customStyle="1" w:styleId="cf01">
    <w:name w:val="cf01"/>
    <w:basedOn w:val="DefaultParagraphFont"/>
    <w:rsid w:val="00786D5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3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fr&#233;d&#233;ric.plas@andra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F1232-5919-4E5B-B688-599C300562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2AF698-55A7-4EF5-9B4C-5F027463EB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EF7F36-26DE-4DC8-82CA-F5DE3917B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46698-923F-45EF-BC6A-5873BF5598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630</Words>
  <Characters>3608</Characters>
  <Application>Microsoft Office Word</Application>
  <DocSecurity>0</DocSecurity>
  <Lines>61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Cigéo dossier ABSTRACT_VA</vt:lpstr>
      <vt:lpstr>Cigéo dossier ABSTRACT_VA</vt:lpstr>
    </vt:vector>
  </TitlesOfParts>
  <Company>OECD Nuclear Energy Agency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Cigéo dossier ABSTRACT_VA_final_final_final</dc:title>
  <dc:subject/>
  <dc:creator>KWONG Gloria, NEA/PR</dc:creator>
  <cp:keywords/>
  <cp:lastModifiedBy>LI Zhuoran, NEA/RWMD</cp:lastModifiedBy>
  <cp:revision>10</cp:revision>
  <dcterms:created xsi:type="dcterms:W3CDTF">2024-04-30T09:15:00Z</dcterms:created>
  <dcterms:modified xsi:type="dcterms:W3CDTF">2024-05-20T10:49:00Z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ECDDocumentId">
    <vt:lpwstr>9E71E326C8DC3859FED47F052E06068F3356B0C5002CB7238DDBB21CB4844355</vt:lpwstr>
  </property>
  <property fmtid="{D5CDD505-2E9C-101B-9397-08002B2CF9AE}" pid="3" name="OecdDocumentCoteLangHash">
    <vt:lpwstr/>
  </property>
  <property fmtid="{D5CDD505-2E9C-101B-9397-08002B2CF9AE}" pid="4" name="ContentTypeId">
    <vt:lpwstr>0x01010002FAEBA6069C9F458C0085404E0C5FFE</vt:lpwstr>
  </property>
</Properties>
</file>