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285532" w:rsidRDefault="1A27750A" w:rsidP="1A27750A">
      <w:pPr>
        <w:shd w:val="clear" w:color="auto" w:fill="FFFFFF" w:themeFill="background1"/>
        <w:spacing w:after="120"/>
        <w:jc w:val="center"/>
        <w:rPr>
          <w:b/>
          <w:bCs/>
          <w:color w:val="116AAF"/>
        </w:rPr>
      </w:pPr>
      <w:r w:rsidRPr="1A27750A">
        <w:rPr>
          <w:b/>
          <w:bCs/>
          <w:color w:val="116AAF"/>
          <w:sz w:val="32"/>
          <w:szCs w:val="32"/>
        </w:rPr>
        <w:t>Integration Group for the Safety Case (IGSC) Symposium 2024</w:t>
      </w:r>
      <w:r w:rsidR="00285532">
        <w:br/>
      </w:r>
      <w:r w:rsidRPr="1A27750A">
        <w:rPr>
          <w:i/>
          <w:iCs/>
          <w:color w:val="116AAF"/>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1A27750A">
        <w:trPr>
          <w:trHeight w:val="432"/>
        </w:trPr>
        <w:tc>
          <w:tcPr>
            <w:tcW w:w="5707" w:type="dxa"/>
          </w:tcPr>
          <w:p w14:paraId="2DBDCB72" w14:textId="32407A89" w:rsidR="00ED483F" w:rsidRPr="001E1BD7" w:rsidRDefault="1A27750A" w:rsidP="1A27750A">
            <w:pPr>
              <w:spacing w:before="60" w:after="60"/>
              <w:rPr>
                <w:b/>
                <w:bCs/>
                <w:color w:val="000000" w:themeColor="text1"/>
                <w:lang w:eastAsia="zh-CN"/>
              </w:rPr>
            </w:pPr>
            <w:r w:rsidRPr="1A27750A">
              <w:rPr>
                <w:b/>
                <w:bCs/>
                <w:color w:val="000000" w:themeColor="text1"/>
              </w:rPr>
              <w:t>Abstract Number</w:t>
            </w:r>
            <w:r w:rsidRPr="1A27750A">
              <w:rPr>
                <w:b/>
                <w:bCs/>
                <w:color w:val="000000" w:themeColor="text1"/>
                <w:lang w:eastAsia="ja-JP"/>
              </w:rPr>
              <w:t xml:space="preserve">:  </w:t>
            </w:r>
            <w:r w:rsidR="001E1BD7">
              <w:rPr>
                <w:rFonts w:hint="eastAsia"/>
                <w:b/>
                <w:bCs/>
                <w:color w:val="000000" w:themeColor="text1"/>
                <w:lang w:eastAsia="zh-CN"/>
              </w:rPr>
              <w:t>8</w:t>
            </w:r>
          </w:p>
        </w:tc>
        <w:tc>
          <w:tcPr>
            <w:tcW w:w="3376" w:type="dxa"/>
          </w:tcPr>
          <w:p w14:paraId="65329394" w14:textId="4AB3BF89" w:rsidR="00ED483F" w:rsidRPr="00D66730" w:rsidRDefault="00BA22F6" w:rsidP="1A27750A">
            <w:pPr>
              <w:spacing w:before="60" w:after="60"/>
              <w:rPr>
                <w:b/>
                <w:bCs/>
                <w:color w:val="000000" w:themeColor="text1"/>
                <w:lang w:eastAsia="ja-JP"/>
              </w:rPr>
            </w:pPr>
            <w:r>
              <w:rPr>
                <w:b/>
                <w:bCs/>
                <w:color w:val="000000" w:themeColor="text1"/>
                <w:lang w:eastAsia="ja-JP"/>
              </w:rPr>
              <w:t>Session 7.1.2</w:t>
            </w:r>
          </w:p>
        </w:tc>
      </w:tr>
      <w:tr w:rsidR="00D66730" w:rsidRPr="00D66730" w14:paraId="0837F891" w14:textId="77777777" w:rsidTr="007D2A9B">
        <w:trPr>
          <w:trHeight w:val="556"/>
        </w:trPr>
        <w:tc>
          <w:tcPr>
            <w:tcW w:w="9083" w:type="dxa"/>
            <w:gridSpan w:val="2"/>
          </w:tcPr>
          <w:p w14:paraId="22D919D6" w14:textId="77777777" w:rsidR="00C60BC5" w:rsidRPr="00D66730" w:rsidRDefault="1A27750A" w:rsidP="1A27750A">
            <w:pPr>
              <w:spacing w:before="60" w:after="60"/>
              <w:rPr>
                <w:b/>
                <w:bCs/>
                <w:color w:val="000000" w:themeColor="text1"/>
                <w:lang w:eastAsia="ja-JP"/>
              </w:rPr>
            </w:pPr>
            <w:r w:rsidRPr="1A27750A">
              <w:rPr>
                <w:b/>
                <w:bCs/>
                <w:color w:val="000000" w:themeColor="text1"/>
              </w:rPr>
              <w:t>Author</w:t>
            </w:r>
            <w:r w:rsidRPr="1A27750A">
              <w:rPr>
                <w:b/>
                <w:bCs/>
                <w:color w:val="000000" w:themeColor="text1"/>
                <w:lang w:eastAsia="ja-JP"/>
              </w:rPr>
              <w:t>:</w:t>
            </w:r>
          </w:p>
          <w:p w14:paraId="1495A33B" w14:textId="60CC5245" w:rsidR="00500C65" w:rsidRPr="00EA3E50" w:rsidRDefault="1A27750A" w:rsidP="1A27750A">
            <w:pPr>
              <w:spacing w:before="60" w:after="60"/>
              <w:rPr>
                <w:color w:val="000000" w:themeColor="text1"/>
                <w:lang w:eastAsia="ja-JP"/>
              </w:rPr>
            </w:pPr>
            <w:r w:rsidRPr="1A27750A">
              <w:rPr>
                <w:i/>
                <w:iCs/>
                <w:color w:val="000000" w:themeColor="text1"/>
                <w:lang w:eastAsia="ja-JP"/>
              </w:rPr>
              <w:t>E. Vermariën (ONDRAF/NIRAS), E. Weetjens (SCK CEN), J. Govaerts (SCK CEN), J. Perko (SCK CEN)</w:t>
            </w:r>
            <w:r w:rsidR="008E2043">
              <w:rPr>
                <w:i/>
                <w:iCs/>
                <w:color w:val="000000" w:themeColor="text1"/>
                <w:lang w:eastAsia="ja-JP"/>
              </w:rPr>
              <w:br/>
            </w:r>
            <w:r w:rsidR="008E2043">
              <w:rPr>
                <w:i/>
                <w:iCs/>
                <w:color w:val="000000" w:themeColor="text1"/>
                <w:lang w:eastAsia="ja-JP"/>
              </w:rPr>
              <w:br/>
            </w:r>
            <w:r w:rsidR="00EA3E50" w:rsidRPr="00EA3E50">
              <w:rPr>
                <w:color w:val="000000" w:themeColor="text1"/>
                <w:u w:val="single"/>
                <w:lang w:eastAsia="ja-JP"/>
              </w:rPr>
              <w:t>Main author</w:t>
            </w:r>
            <w:r w:rsidR="00EA3E50">
              <w:rPr>
                <w:color w:val="000000" w:themeColor="text1"/>
                <w:lang w:eastAsia="ja-JP"/>
              </w:rPr>
              <w:t xml:space="preserve">: Elise Vermariën, ONDRAF/NIRAS, Belgium – </w:t>
            </w:r>
            <w:hyperlink r:id="rId11" w:history="1">
              <w:r w:rsidR="00EA3E50" w:rsidRPr="000C4EAC">
                <w:rPr>
                  <w:rStyle w:val="Hyperlink"/>
                  <w:lang w:eastAsia="ja-JP"/>
                </w:rPr>
                <w:t>e.vermarien@nirond.be</w:t>
              </w:r>
            </w:hyperlink>
            <w:r w:rsidR="00EA3E50">
              <w:rPr>
                <w:color w:val="000000" w:themeColor="text1"/>
                <w:lang w:eastAsia="ja-JP"/>
              </w:rPr>
              <w:t xml:space="preserve"> </w:t>
            </w:r>
          </w:p>
          <w:p w14:paraId="6BC53966" w14:textId="77777777" w:rsidR="00AF3942" w:rsidRPr="00D66730" w:rsidRDefault="00AF3942" w:rsidP="002B0699">
            <w:pPr>
              <w:spacing w:before="60" w:after="60"/>
              <w:rPr>
                <w:rFonts w:cstheme="minorHAnsi"/>
                <w:b/>
                <w:color w:val="000000" w:themeColor="text1"/>
                <w:lang w:eastAsia="ja-JP"/>
              </w:rPr>
            </w:pPr>
          </w:p>
        </w:tc>
      </w:tr>
      <w:tr w:rsidR="00D66730" w:rsidRPr="00D66730" w14:paraId="330BCA96" w14:textId="77777777" w:rsidTr="007D2A9B">
        <w:trPr>
          <w:trHeight w:val="763"/>
        </w:trPr>
        <w:tc>
          <w:tcPr>
            <w:tcW w:w="9083" w:type="dxa"/>
            <w:gridSpan w:val="2"/>
          </w:tcPr>
          <w:p w14:paraId="60DB58DF" w14:textId="6A0FF443" w:rsidR="00AF3942" w:rsidRPr="007D2A9B" w:rsidRDefault="1A27750A" w:rsidP="002B0699">
            <w:pPr>
              <w:spacing w:before="60" w:after="60"/>
              <w:rPr>
                <w:b/>
                <w:bCs/>
                <w:color w:val="000000" w:themeColor="text1"/>
                <w:lang w:eastAsia="ja-JP"/>
              </w:rPr>
            </w:pPr>
            <w:r w:rsidRPr="1A27750A">
              <w:rPr>
                <w:b/>
                <w:bCs/>
                <w:color w:val="000000" w:themeColor="text1"/>
                <w:lang w:eastAsia="ja-JP"/>
              </w:rPr>
              <w:t xml:space="preserve">Abstract </w:t>
            </w:r>
            <w:r w:rsidRPr="1A27750A">
              <w:rPr>
                <w:b/>
                <w:bCs/>
                <w:color w:val="000000" w:themeColor="text1"/>
              </w:rPr>
              <w:t>Title</w:t>
            </w:r>
            <w:r w:rsidRPr="1A27750A">
              <w:rPr>
                <w:b/>
                <w:bCs/>
                <w:color w:val="000000" w:themeColor="text1"/>
                <w:lang w:eastAsia="ja-JP"/>
              </w:rPr>
              <w:t>:</w:t>
            </w:r>
          </w:p>
          <w:p w14:paraId="0223D0BE" w14:textId="011AAC60" w:rsidR="00C60BC5" w:rsidRPr="007D2A9B" w:rsidRDefault="1A27750A" w:rsidP="002B0699">
            <w:pPr>
              <w:spacing w:before="60" w:after="60"/>
              <w:rPr>
                <w:b/>
                <w:bCs/>
                <w:color w:val="000000" w:themeColor="text1"/>
                <w:lang w:eastAsia="ja-JP"/>
              </w:rPr>
            </w:pPr>
            <w:r w:rsidRPr="1A27750A">
              <w:rPr>
                <w:b/>
                <w:bCs/>
                <w:color w:val="000000" w:themeColor="text1"/>
                <w:lang w:eastAsia="ja-JP"/>
              </w:rPr>
              <w:t>Containment performance analysis for the surface repository at Dessel, Belgium</w:t>
            </w:r>
          </w:p>
        </w:tc>
      </w:tr>
      <w:tr w:rsidR="009A53CF" w:rsidRPr="00D66730" w14:paraId="336BE7D3" w14:textId="77777777" w:rsidTr="007D2A9B">
        <w:trPr>
          <w:trHeight w:val="620"/>
        </w:trPr>
        <w:tc>
          <w:tcPr>
            <w:tcW w:w="9083" w:type="dxa"/>
            <w:gridSpan w:val="2"/>
            <w:tcBorders>
              <w:bottom w:val="single" w:sz="4" w:space="0" w:color="auto"/>
            </w:tcBorders>
          </w:tcPr>
          <w:p w14:paraId="78C5C3E3" w14:textId="77777777" w:rsidR="009A53CF" w:rsidRPr="009A53CF" w:rsidRDefault="1A27750A" w:rsidP="1A27750A">
            <w:pPr>
              <w:spacing w:before="60" w:after="60"/>
              <w:ind w:right="-85"/>
              <w:rPr>
                <w:b/>
                <w:bCs/>
                <w:lang w:eastAsia="ja-JP"/>
              </w:rPr>
            </w:pPr>
            <w:r w:rsidRPr="1A27750A">
              <w:rPr>
                <w:b/>
                <w:bCs/>
                <w:lang w:eastAsia="ja-JP"/>
              </w:rPr>
              <w:t>Abstract (300-500 words):</w:t>
            </w:r>
          </w:p>
          <w:p w14:paraId="47801BE6" w14:textId="776CE3D8" w:rsidR="009A53CF" w:rsidRPr="009A53CF" w:rsidRDefault="1A27750A" w:rsidP="007D2A9B">
            <w:pPr>
              <w:spacing w:before="60" w:after="60"/>
              <w:ind w:right="144"/>
              <w:jc w:val="both"/>
              <w:rPr>
                <w:lang w:eastAsia="ja-JP"/>
              </w:rPr>
            </w:pPr>
            <w:r w:rsidRPr="1A27750A">
              <w:rPr>
                <w:lang w:eastAsia="ja-JP"/>
              </w:rPr>
              <w:t xml:space="preserve">In the framework of the safety case for the category A waste repository at Dessel (Belgium), a systematic analysis of the containment performance was performed, the ultimate objective of which was to confirm the efficacy of </w:t>
            </w:r>
            <w:r w:rsidRPr="1A27750A">
              <w:rPr>
                <w:lang w:val="en-US" w:eastAsia="ja-JP"/>
              </w:rPr>
              <w:t xml:space="preserve">the </w:t>
            </w:r>
            <w:r w:rsidRPr="1A27750A">
              <w:rPr>
                <w:lang w:eastAsia="ja-JP"/>
              </w:rPr>
              <w:t xml:space="preserve">containment strategy </w:t>
            </w:r>
            <w:r w:rsidRPr="1A27750A">
              <w:rPr>
                <w:lang w:val="en-US" w:eastAsia="ja-JP"/>
              </w:rPr>
              <w:t>concretised</w:t>
            </w:r>
            <w:r w:rsidRPr="1A27750A">
              <w:rPr>
                <w:lang w:eastAsia="ja-JP"/>
              </w:rPr>
              <w:t xml:space="preserve"> in the long-term safety concept. To this end, three goals were pursued:</w:t>
            </w:r>
          </w:p>
          <w:p w14:paraId="18BB269E" w14:textId="77777777" w:rsidR="009A53CF" w:rsidRPr="009A53CF" w:rsidRDefault="1A27750A" w:rsidP="007D2A9B">
            <w:pPr>
              <w:pStyle w:val="ListParagraph"/>
              <w:numPr>
                <w:ilvl w:val="0"/>
                <w:numId w:val="4"/>
              </w:numPr>
              <w:spacing w:before="60" w:after="60"/>
              <w:ind w:right="144"/>
              <w:jc w:val="both"/>
              <w:rPr>
                <w:lang w:eastAsia="ja-JP"/>
              </w:rPr>
            </w:pPr>
            <w:r w:rsidRPr="1A27750A">
              <w:rPr>
                <w:lang w:eastAsia="ja-JP"/>
              </w:rPr>
              <w:t>to quantify the expected containment performance of the disposal system and its constituting SSCs and safety functions;</w:t>
            </w:r>
          </w:p>
          <w:p w14:paraId="5EC529A1" w14:textId="77777777" w:rsidR="009A53CF" w:rsidRPr="009A53CF" w:rsidRDefault="1A27750A" w:rsidP="007D2A9B">
            <w:pPr>
              <w:pStyle w:val="ListParagraph"/>
              <w:numPr>
                <w:ilvl w:val="0"/>
                <w:numId w:val="4"/>
              </w:numPr>
              <w:spacing w:before="60" w:after="60"/>
              <w:ind w:right="144"/>
              <w:jc w:val="both"/>
              <w:rPr>
                <w:lang w:eastAsia="ja-JP"/>
              </w:rPr>
            </w:pPr>
            <w:r w:rsidRPr="1A27750A">
              <w:rPr>
                <w:lang w:eastAsia="ja-JP"/>
              </w:rPr>
              <w:t>to demonstrate that the disposal system and its components display sufficient robustness with respect to reasonably foreseeable perturbations thereof; and</w:t>
            </w:r>
          </w:p>
          <w:p w14:paraId="4CDAE219" w14:textId="77777777" w:rsidR="009A53CF" w:rsidRPr="009A53CF" w:rsidRDefault="1A27750A" w:rsidP="007D2A9B">
            <w:pPr>
              <w:pStyle w:val="ListParagraph"/>
              <w:numPr>
                <w:ilvl w:val="0"/>
                <w:numId w:val="4"/>
              </w:numPr>
              <w:spacing w:before="60" w:after="60"/>
              <w:ind w:right="144"/>
              <w:jc w:val="both"/>
              <w:rPr>
                <w:lang w:eastAsia="ja-JP"/>
              </w:rPr>
            </w:pPr>
            <w:r w:rsidRPr="1A27750A">
              <w:rPr>
                <w:lang w:eastAsia="ja-JP"/>
              </w:rPr>
              <w:t xml:space="preserve">to demonstrate that the graded approach adopted in </w:t>
            </w:r>
            <w:r w:rsidRPr="1A27750A">
              <w:rPr>
                <w:lang w:val="en-US" w:eastAsia="ja-JP"/>
              </w:rPr>
              <w:t xml:space="preserve">the </w:t>
            </w:r>
            <w:r w:rsidRPr="1A27750A">
              <w:rPr>
                <w:lang w:eastAsia="ja-JP"/>
              </w:rPr>
              <w:t>containment strategy is commensurate to the evolving radiological hazard associated with the waste.</w:t>
            </w:r>
          </w:p>
          <w:p w14:paraId="0420C668" w14:textId="77777777" w:rsidR="009A53CF" w:rsidRPr="009A53CF" w:rsidRDefault="1A27750A" w:rsidP="007D2A9B">
            <w:pPr>
              <w:spacing w:before="60" w:after="60"/>
              <w:ind w:right="144"/>
              <w:jc w:val="both"/>
              <w:rPr>
                <w:lang w:eastAsia="ja-JP"/>
              </w:rPr>
            </w:pPr>
            <w:r w:rsidRPr="1A27750A">
              <w:rPr>
                <w:lang w:eastAsia="ja-JP"/>
              </w:rPr>
              <w:t xml:space="preserve">The expected containment performance was assessed using the phenomenologically expected evolution – which can be reliably described over timeframes of the order of two thousand years – and the long-term safety concept in terms of main roles of SSCs for the containment and protection safety functions. While the containment performance is strongly linked to design requirements and conformity criteria substantiating them, a set of quantitative performance indicators, calculated from </w:t>
            </w:r>
            <w:r w:rsidRPr="1A27750A">
              <w:rPr>
                <w:lang w:val="en-US" w:eastAsia="ja-JP"/>
              </w:rPr>
              <w:t>qualifie</w:t>
            </w:r>
            <w:r w:rsidRPr="1A27750A">
              <w:rPr>
                <w:lang w:eastAsia="ja-JP"/>
              </w:rPr>
              <w:t>d best-estimate near field models, was also tested – the most useful ones were found to be the fraction of activity and radio</w:t>
            </w:r>
            <w:r w:rsidRPr="1A27750A">
              <w:rPr>
                <w:lang w:val="en-US" w:eastAsia="ja-JP"/>
              </w:rPr>
              <w:t>toxic</w:t>
            </w:r>
            <w:r w:rsidRPr="1A27750A">
              <w:rPr>
                <w:lang w:eastAsia="ja-JP"/>
              </w:rPr>
              <w:t>ity decayed and/or present in the main SSC’s as a function of time, and the cumulative radiotoxicity released from the disposal system.</w:t>
            </w:r>
          </w:p>
          <w:p w14:paraId="786837C7" w14:textId="77777777" w:rsidR="009A53CF" w:rsidRPr="009A53CF" w:rsidRDefault="1A27750A" w:rsidP="007D2A9B">
            <w:pPr>
              <w:spacing w:before="60" w:after="60"/>
              <w:ind w:right="144"/>
              <w:jc w:val="both"/>
              <w:rPr>
                <w:lang w:eastAsia="ja-JP"/>
              </w:rPr>
            </w:pPr>
            <w:r w:rsidRPr="1A27750A">
              <w:rPr>
                <w:lang w:eastAsia="ja-JP"/>
              </w:rPr>
              <w:t>This allowed to get a clear picture of the overall level of containment provided by the disposal system and the relative contributions of SSC’s and safety functions. It was confirmed that the vast majority of initial activity/radio</w:t>
            </w:r>
            <w:r w:rsidRPr="1A27750A">
              <w:rPr>
                <w:lang w:val="en-US" w:eastAsia="ja-JP"/>
              </w:rPr>
              <w:t>toxic</w:t>
            </w:r>
            <w:r w:rsidRPr="1A27750A">
              <w:rPr>
                <w:lang w:eastAsia="ja-JP"/>
              </w:rPr>
              <w:t xml:space="preserve">ity is subject to decay inside the </w:t>
            </w:r>
            <w:r w:rsidRPr="1A27750A">
              <w:rPr>
                <w:lang w:val="en-US" w:eastAsia="ja-JP"/>
              </w:rPr>
              <w:t xml:space="preserve">disposal </w:t>
            </w:r>
            <w:r w:rsidRPr="1A27750A">
              <w:rPr>
                <w:lang w:eastAsia="ja-JP"/>
              </w:rPr>
              <w:t>system and that releases of radionuclides can essentially be prevented as long as an efficient limitation of water infiltration towards the waste can be ensured by the subsequent components of the multilayer cover. It was further demonstrated that releases can be strongly limited and delayed even as the system degrades</w:t>
            </w:r>
            <w:r w:rsidRPr="1A27750A">
              <w:rPr>
                <w:lang w:val="en-US" w:eastAsia="ja-JP"/>
              </w:rPr>
              <w:t>,</w:t>
            </w:r>
            <w:r w:rsidRPr="1A27750A">
              <w:rPr>
                <w:lang w:eastAsia="ja-JP"/>
              </w:rPr>
              <w:t xml:space="preserve"> thanks to the continued diversion of most water away from the waste, and chemical retention – </w:t>
            </w:r>
            <w:r w:rsidRPr="1A27750A">
              <w:rPr>
                <w:lang w:val="en-US" w:eastAsia="ja-JP"/>
              </w:rPr>
              <w:t>to which</w:t>
            </w:r>
            <w:r w:rsidRPr="1A27750A">
              <w:rPr>
                <w:lang w:eastAsia="ja-JP"/>
              </w:rPr>
              <w:t xml:space="preserve"> the waste form is the key </w:t>
            </w:r>
            <w:r w:rsidRPr="1A27750A">
              <w:rPr>
                <w:lang w:val="en-US" w:eastAsia="ja-JP"/>
              </w:rPr>
              <w:t xml:space="preserve">contributing </w:t>
            </w:r>
            <w:r w:rsidRPr="1A27750A">
              <w:rPr>
                <w:lang w:eastAsia="ja-JP"/>
              </w:rPr>
              <w:t>component.</w:t>
            </w:r>
          </w:p>
          <w:p w14:paraId="5130CFBE" w14:textId="0EE01900" w:rsidR="009A53CF" w:rsidRPr="009A53CF" w:rsidRDefault="1A27750A" w:rsidP="007D2A9B">
            <w:pPr>
              <w:spacing w:before="60" w:after="60"/>
              <w:ind w:right="144"/>
              <w:jc w:val="both"/>
              <w:rPr>
                <w:lang w:eastAsia="ja-JP"/>
              </w:rPr>
            </w:pPr>
            <w:r w:rsidRPr="1A27750A">
              <w:rPr>
                <w:lang w:val="en-US" w:eastAsia="ja-JP"/>
              </w:rPr>
              <w:t>P</w:t>
            </w:r>
            <w:r w:rsidRPr="1A27750A">
              <w:rPr>
                <w:lang w:eastAsia="ja-JP"/>
              </w:rPr>
              <w:t xml:space="preserve">erformance indicators were </w:t>
            </w:r>
            <w:r w:rsidRPr="1A27750A">
              <w:rPr>
                <w:lang w:val="en-US" w:eastAsia="ja-JP"/>
              </w:rPr>
              <w:t>also</w:t>
            </w:r>
            <w:r w:rsidRPr="1A27750A">
              <w:rPr>
                <w:lang w:eastAsia="ja-JP"/>
              </w:rPr>
              <w:t xml:space="preserve"> </w:t>
            </w:r>
            <w:r w:rsidRPr="1A27750A">
              <w:rPr>
                <w:lang w:val="en-US" w:eastAsia="ja-JP"/>
              </w:rPr>
              <w:t>quantified</w:t>
            </w:r>
            <w:r w:rsidRPr="1A27750A">
              <w:rPr>
                <w:lang w:eastAsia="ja-JP"/>
              </w:rPr>
              <w:t xml:space="preserve"> under perturbed conditions resulting from potential threats posed by predefined</w:t>
            </w:r>
            <w:r w:rsidRPr="1A27750A">
              <w:rPr>
                <w:lang w:val="en-US" w:eastAsia="ja-JP"/>
              </w:rPr>
              <w:t xml:space="preserve"> plausible</w:t>
            </w:r>
            <w:r w:rsidRPr="1A27750A">
              <w:rPr>
                <w:lang w:eastAsia="ja-JP"/>
              </w:rPr>
              <w:t xml:space="preserve"> events/scenarios </w:t>
            </w:r>
            <w:r w:rsidRPr="1A27750A">
              <w:rPr>
                <w:lang w:val="en-US" w:eastAsia="ja-JP"/>
              </w:rPr>
              <w:t xml:space="preserve">(e.g. major earthquakes) </w:t>
            </w:r>
            <w:r w:rsidRPr="1A27750A">
              <w:rPr>
                <w:lang w:eastAsia="ja-JP"/>
              </w:rPr>
              <w:t xml:space="preserve">that could compromise the </w:t>
            </w:r>
            <w:r w:rsidRPr="1A27750A">
              <w:rPr>
                <w:lang w:val="en-US" w:eastAsia="ja-JP"/>
              </w:rPr>
              <w:t xml:space="preserve">disposal </w:t>
            </w:r>
            <w:r w:rsidRPr="1A27750A">
              <w:rPr>
                <w:lang w:eastAsia="ja-JP"/>
              </w:rPr>
              <w:t xml:space="preserve">system's containment capacity. It was found that complementary and independent SSC’s and/or safety functions are available in all cases. Indeed, no common cause failures could be identified, while conductive sorbing media at the base of the disposal system mitigate enhanced releases from the waste and monoliths (the concrete disposal units containing the waste). </w:t>
            </w:r>
          </w:p>
          <w:p w14:paraId="6667B3DC" w14:textId="589E8F01" w:rsidR="009A53CF" w:rsidRPr="009A53CF" w:rsidRDefault="1A27750A" w:rsidP="007D2A9B">
            <w:pPr>
              <w:spacing w:before="60" w:after="60"/>
              <w:ind w:right="144"/>
              <w:jc w:val="both"/>
              <w:rPr>
                <w:b/>
                <w:bCs/>
                <w:color w:val="000000" w:themeColor="text1"/>
                <w:lang w:eastAsia="ja-JP"/>
              </w:rPr>
            </w:pPr>
            <w:r w:rsidRPr="1A27750A">
              <w:rPr>
                <w:lang w:eastAsia="ja-JP"/>
              </w:rPr>
              <w:t>Thus</w:t>
            </w:r>
            <w:r w:rsidRPr="1A27750A">
              <w:rPr>
                <w:lang w:val="en-US" w:eastAsia="ja-JP"/>
              </w:rPr>
              <w:t>,</w:t>
            </w:r>
            <w:r w:rsidRPr="1A27750A">
              <w:rPr>
                <w:lang w:eastAsia="ja-JP"/>
              </w:rPr>
              <w:t xml:space="preserve"> </w:t>
            </w:r>
            <w:r w:rsidRPr="1A27750A">
              <w:rPr>
                <w:lang w:val="en-US" w:eastAsia="ja-JP"/>
              </w:rPr>
              <w:t>i</w:t>
            </w:r>
            <w:r w:rsidRPr="1A27750A">
              <w:rPr>
                <w:lang w:eastAsia="ja-JP"/>
              </w:rPr>
              <w:t xml:space="preserve">t was confirmed that the disposal system </w:t>
            </w:r>
            <w:r w:rsidRPr="1A27750A">
              <w:rPr>
                <w:lang w:val="en-US" w:eastAsia="ja-JP"/>
              </w:rPr>
              <w:t>maintains</w:t>
            </w:r>
            <w:r w:rsidRPr="1A27750A">
              <w:rPr>
                <w:lang w:eastAsia="ja-JP"/>
              </w:rPr>
              <w:t xml:space="preserve"> adequate containment over </w:t>
            </w:r>
            <w:r w:rsidRPr="1A27750A">
              <w:rPr>
                <w:lang w:val="en-US" w:eastAsia="ja-JP"/>
              </w:rPr>
              <w:t>a span</w:t>
            </w:r>
            <w:r w:rsidRPr="1A27750A">
              <w:rPr>
                <w:lang w:eastAsia="ja-JP"/>
              </w:rPr>
              <w:t xml:space="preserve"> of two thousand years </w:t>
            </w:r>
            <w:r w:rsidRPr="1A27750A">
              <w:rPr>
                <w:lang w:val="en-US" w:eastAsia="ja-JP"/>
              </w:rPr>
              <w:t>across</w:t>
            </w:r>
            <w:r w:rsidRPr="1A27750A">
              <w:rPr>
                <w:lang w:eastAsia="ja-JP"/>
              </w:rPr>
              <w:t xml:space="preserve"> all plausible evolution scenarios</w:t>
            </w:r>
            <w:r w:rsidRPr="1A27750A">
              <w:rPr>
                <w:lang w:val="en-US" w:eastAsia="ja-JP"/>
              </w:rPr>
              <w:t>.</w:t>
            </w:r>
            <w:r w:rsidRPr="1A27750A">
              <w:rPr>
                <w:lang w:eastAsia="ja-JP"/>
              </w:rPr>
              <w:t xml:space="preserve"> </w:t>
            </w:r>
            <w:r w:rsidRPr="1A27750A">
              <w:rPr>
                <w:lang w:val="en-US" w:eastAsia="ja-JP"/>
              </w:rPr>
              <w:t>C</w:t>
            </w:r>
            <w:r w:rsidRPr="1A27750A">
              <w:rPr>
                <w:lang w:eastAsia="ja-JP"/>
              </w:rPr>
              <w:t>umulative radiotoxic</w:t>
            </w:r>
            <w:r w:rsidRPr="1A27750A">
              <w:rPr>
                <w:lang w:val="en-US" w:eastAsia="ja-JP"/>
              </w:rPr>
              <w:t xml:space="preserve"> </w:t>
            </w:r>
            <w:r w:rsidRPr="1A27750A">
              <w:rPr>
                <w:lang w:eastAsia="ja-JP"/>
              </w:rPr>
              <w:t>releases over th</w:t>
            </w:r>
            <w:r w:rsidRPr="1A27750A">
              <w:rPr>
                <w:lang w:val="en-US" w:eastAsia="ja-JP"/>
              </w:rPr>
              <w:t>is duration</w:t>
            </w:r>
            <w:r w:rsidRPr="1A27750A">
              <w:rPr>
                <w:lang w:eastAsia="ja-JP"/>
              </w:rPr>
              <w:t xml:space="preserve"> </w:t>
            </w:r>
            <w:r w:rsidRPr="1A27750A">
              <w:rPr>
                <w:lang w:val="en-US" w:eastAsia="ja-JP"/>
              </w:rPr>
              <w:t>are</w:t>
            </w:r>
            <w:r w:rsidRPr="1A27750A">
              <w:rPr>
                <w:lang w:eastAsia="ja-JP"/>
              </w:rPr>
              <w:t xml:space="preserve"> limited to at most a few percent of the residual radiotoxicity. This </w:t>
            </w:r>
            <w:r w:rsidRPr="1A27750A">
              <w:rPr>
                <w:lang w:val="en-US" w:eastAsia="ja-JP"/>
              </w:rPr>
              <w:t>reaf</w:t>
            </w:r>
            <w:r w:rsidRPr="1A27750A">
              <w:rPr>
                <w:lang w:eastAsia="ja-JP"/>
              </w:rPr>
              <w:t xml:space="preserve">firms that the containment strategy </w:t>
            </w:r>
            <w:r w:rsidRPr="1A27750A">
              <w:rPr>
                <w:lang w:val="en-US" w:eastAsia="ja-JP"/>
              </w:rPr>
              <w:t>outlined</w:t>
            </w:r>
            <w:r w:rsidRPr="1A27750A">
              <w:rPr>
                <w:lang w:eastAsia="ja-JP"/>
              </w:rPr>
              <w:t xml:space="preserve"> in the long-term safety concept ensures a sufficient margin </w:t>
            </w:r>
            <w:r w:rsidRPr="1A27750A">
              <w:rPr>
                <w:lang w:val="en-US" w:eastAsia="ja-JP"/>
              </w:rPr>
              <w:t>of safety</w:t>
            </w:r>
            <w:r w:rsidRPr="1A27750A">
              <w:rPr>
                <w:lang w:eastAsia="ja-JP"/>
              </w:rPr>
              <w:t xml:space="preserve"> compared to the residual radiological hazard associated with the waste.</w:t>
            </w:r>
          </w:p>
        </w:tc>
      </w:tr>
    </w:tbl>
    <w:p w14:paraId="3DB85F1E" w14:textId="77777777" w:rsidR="00ED483F" w:rsidRPr="00D66730" w:rsidRDefault="00ED483F" w:rsidP="00C60BC5">
      <w:pPr>
        <w:spacing w:after="0" w:line="240" w:lineRule="auto"/>
        <w:ind w:right="-188"/>
        <w:rPr>
          <w:rFonts w:cstheme="minorHAnsi"/>
          <w:b/>
          <w:color w:val="EEECE1" w:themeColor="background2"/>
          <w:lang w:eastAsia="ja-JP"/>
        </w:rPr>
      </w:pPr>
    </w:p>
    <w:sectPr w:rsidR="00ED483F" w:rsidRPr="00D66730" w:rsidSect="00F716C5">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844C5" w14:textId="77777777" w:rsidR="00DD4793" w:rsidRDefault="00DD4793" w:rsidP="00AF3942">
      <w:pPr>
        <w:spacing w:after="0" w:line="240" w:lineRule="auto"/>
      </w:pPr>
      <w:r>
        <w:separator/>
      </w:r>
    </w:p>
  </w:endnote>
  <w:endnote w:type="continuationSeparator" w:id="0">
    <w:p w14:paraId="2E679E2D" w14:textId="77777777" w:rsidR="00DD4793" w:rsidRDefault="00DD4793"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69A45" w14:textId="77777777" w:rsidR="00DD4793" w:rsidRDefault="00DD4793" w:rsidP="00AF3942">
      <w:pPr>
        <w:spacing w:after="0" w:line="240" w:lineRule="auto"/>
      </w:pPr>
      <w:r>
        <w:separator/>
      </w:r>
    </w:p>
  </w:footnote>
  <w:footnote w:type="continuationSeparator" w:id="0">
    <w:p w14:paraId="2B42C667" w14:textId="77777777" w:rsidR="00DD4793" w:rsidRDefault="00DD4793"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C50608F"/>
    <w:multiLevelType w:val="hybridMultilevel"/>
    <w:tmpl w:val="CD4A3F62"/>
    <w:lvl w:ilvl="0" w:tplc="1A7A3B72">
      <w:start w:val="5"/>
      <w:numFmt w:val="bullet"/>
      <w:lvlText w:val=""/>
      <w:lvlJc w:val="left"/>
      <w:pPr>
        <w:ind w:left="720" w:hanging="360"/>
      </w:pPr>
      <w:rPr>
        <w:rFonts w:ascii="Symbol" w:eastAsiaTheme="minorHAnsi" w:hAnsi="Symbol" w:cstheme="minorHAns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1043284173">
    <w:abstractNumId w:val="1"/>
  </w:num>
  <w:num w:numId="2" w16cid:durableId="1627541623">
    <w:abstractNumId w:val="0"/>
  </w:num>
  <w:num w:numId="3" w16cid:durableId="612253574">
    <w:abstractNumId w:val="2"/>
  </w:num>
  <w:num w:numId="4" w16cid:durableId="3484084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cumentProtection w:formatting="1"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6677"/>
    <w:rsid w:val="00075FCF"/>
    <w:rsid w:val="001215B8"/>
    <w:rsid w:val="001267DA"/>
    <w:rsid w:val="001D12DF"/>
    <w:rsid w:val="001E1BD7"/>
    <w:rsid w:val="0024518F"/>
    <w:rsid w:val="00285532"/>
    <w:rsid w:val="002B0699"/>
    <w:rsid w:val="002C48DA"/>
    <w:rsid w:val="003D606A"/>
    <w:rsid w:val="00500C65"/>
    <w:rsid w:val="005208E7"/>
    <w:rsid w:val="0053334D"/>
    <w:rsid w:val="0067177D"/>
    <w:rsid w:val="0077682E"/>
    <w:rsid w:val="007D2A9B"/>
    <w:rsid w:val="007E39C3"/>
    <w:rsid w:val="008B5501"/>
    <w:rsid w:val="008E2043"/>
    <w:rsid w:val="0090257F"/>
    <w:rsid w:val="009249FD"/>
    <w:rsid w:val="009A53CF"/>
    <w:rsid w:val="009C3C04"/>
    <w:rsid w:val="00A551EB"/>
    <w:rsid w:val="00AF3942"/>
    <w:rsid w:val="00B22E8F"/>
    <w:rsid w:val="00B44A16"/>
    <w:rsid w:val="00BA22F6"/>
    <w:rsid w:val="00BB311A"/>
    <w:rsid w:val="00C24510"/>
    <w:rsid w:val="00C60BC5"/>
    <w:rsid w:val="00CD5585"/>
    <w:rsid w:val="00D66730"/>
    <w:rsid w:val="00D7639A"/>
    <w:rsid w:val="00DB6830"/>
    <w:rsid w:val="00DD4793"/>
    <w:rsid w:val="00EA3E50"/>
    <w:rsid w:val="00ED483F"/>
    <w:rsid w:val="00F21A17"/>
    <w:rsid w:val="00F716C5"/>
    <w:rsid w:val="1A27750A"/>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character" w:styleId="CommentReference">
    <w:name w:val="annotation reference"/>
    <w:basedOn w:val="DefaultParagraphFont"/>
    <w:uiPriority w:val="99"/>
    <w:semiHidden/>
    <w:unhideWhenUsed/>
    <w:rsid w:val="00500C65"/>
    <w:rPr>
      <w:sz w:val="16"/>
      <w:szCs w:val="16"/>
    </w:rPr>
  </w:style>
  <w:style w:type="paragraph" w:styleId="CommentText">
    <w:name w:val="annotation text"/>
    <w:basedOn w:val="Normal"/>
    <w:link w:val="CommentTextChar"/>
    <w:uiPriority w:val="99"/>
    <w:unhideWhenUsed/>
    <w:rsid w:val="00500C65"/>
    <w:pPr>
      <w:spacing w:line="240" w:lineRule="auto"/>
    </w:pPr>
    <w:rPr>
      <w:sz w:val="20"/>
      <w:szCs w:val="20"/>
    </w:rPr>
  </w:style>
  <w:style w:type="character" w:customStyle="1" w:styleId="CommentTextChar">
    <w:name w:val="Comment Text Char"/>
    <w:basedOn w:val="DefaultParagraphFont"/>
    <w:link w:val="CommentText"/>
    <w:uiPriority w:val="99"/>
    <w:rsid w:val="00500C65"/>
    <w:rPr>
      <w:sz w:val="20"/>
      <w:szCs w:val="20"/>
    </w:rPr>
  </w:style>
  <w:style w:type="paragraph" w:styleId="CommentSubject">
    <w:name w:val="annotation subject"/>
    <w:basedOn w:val="CommentText"/>
    <w:next w:val="CommentText"/>
    <w:link w:val="CommentSubjectChar"/>
    <w:uiPriority w:val="99"/>
    <w:semiHidden/>
    <w:unhideWhenUsed/>
    <w:rsid w:val="00500C65"/>
    <w:rPr>
      <w:b/>
      <w:bCs/>
    </w:rPr>
  </w:style>
  <w:style w:type="character" w:customStyle="1" w:styleId="CommentSubjectChar">
    <w:name w:val="Comment Subject Char"/>
    <w:basedOn w:val="CommentTextChar"/>
    <w:link w:val="CommentSubject"/>
    <w:uiPriority w:val="99"/>
    <w:semiHidden/>
    <w:rsid w:val="00500C65"/>
    <w:rPr>
      <w:b/>
      <w:bCs/>
      <w:sz w:val="20"/>
      <w:szCs w:val="20"/>
    </w:rPr>
  </w:style>
  <w:style w:type="character" w:styleId="Hyperlink">
    <w:name w:val="Hyperlink"/>
    <w:basedOn w:val="DefaultParagraphFont"/>
    <w:uiPriority w:val="99"/>
    <w:unhideWhenUsed/>
    <w:rsid w:val="00EA3E50"/>
    <w:rPr>
      <w:color w:val="0000FF" w:themeColor="hyperlink"/>
      <w:u w:val="single"/>
    </w:rPr>
  </w:style>
  <w:style w:type="character" w:styleId="UnresolvedMention">
    <w:name w:val="Unresolved Mention"/>
    <w:basedOn w:val="DefaultParagraphFont"/>
    <w:uiPriority w:val="99"/>
    <w:semiHidden/>
    <w:unhideWhenUsed/>
    <w:rsid w:val="00EA3E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vermarien@nirond.b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9986DB-A046-41A3-8B18-057B9A28094E}">
  <ds:schemaRefs>
    <ds:schemaRef ds:uri="http://schemas.microsoft.com/sharepoint/v3/contenttype/forms"/>
  </ds:schemaRefs>
</ds:datastoreItem>
</file>

<file path=customXml/itemProps2.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customXml/itemProps3.xml><?xml version="1.0" encoding="utf-8"?>
<ds:datastoreItem xmlns:ds="http://schemas.openxmlformats.org/officeDocument/2006/customXml" ds:itemID="{BA183803-5596-48BC-A436-E207D899C52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73ED11A-561A-492A-B95A-2832D7602F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549</Words>
  <Characters>3223</Characters>
  <Application>Microsoft Office Word</Application>
  <DocSecurity>0</DocSecurity>
  <Lines>51</Lines>
  <Paragraphs>16</Paragraphs>
  <ScaleCrop>false</ScaleCrop>
  <HeadingPairs>
    <vt:vector size="2" baseType="variant">
      <vt:variant>
        <vt:lpstr>Cím</vt:lpstr>
      </vt:variant>
      <vt:variant>
        <vt:i4>1</vt:i4>
      </vt:variant>
    </vt:vector>
  </HeadingPairs>
  <TitlesOfParts>
    <vt:vector size="1" baseType="lpstr">
      <vt:lpstr/>
    </vt:vector>
  </TitlesOfParts>
  <Company>Microsoft</Company>
  <LinksUpToDate>false</LinksUpToDate>
  <CharactersWithSpaces>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LI Zhuoran, NEA/RWMD</cp:lastModifiedBy>
  <cp:revision>7</cp:revision>
  <dcterms:created xsi:type="dcterms:W3CDTF">2024-05-13T07:25:00Z</dcterms:created>
  <dcterms:modified xsi:type="dcterms:W3CDTF">2024-05-20T11:45:00Z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ies>
</file>