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Ind w:w="421" w:type="dxa"/>
        <w:tblLook w:val="04A0" w:firstRow="1" w:lastRow="0" w:firstColumn="1" w:lastColumn="0" w:noHBand="0" w:noVBand="1"/>
      </w:tblPr>
      <w:tblGrid>
        <w:gridCol w:w="4088"/>
        <w:gridCol w:w="4507"/>
      </w:tblGrid>
      <w:tr w:rsidR="00ED483F" w:rsidRPr="00AF3942" w14:paraId="0F2720A1" w14:textId="77777777" w:rsidTr="00CE02B0">
        <w:tc>
          <w:tcPr>
            <w:tcW w:w="4088" w:type="dxa"/>
          </w:tcPr>
          <w:p w14:paraId="49CAC052" w14:textId="6BF56F17" w:rsidR="00ED483F" w:rsidRPr="00AF3942" w:rsidRDefault="00EE1248" w:rsidP="00C60BC5">
            <w:pPr>
              <w:spacing w:before="60" w:after="60"/>
              <w:ind w:right="-187"/>
              <w:rPr>
                <w:rFonts w:cstheme="minorHAnsi"/>
                <w:b/>
              </w:rPr>
            </w:pPr>
            <w:r>
              <w:rPr>
                <w:rFonts w:cstheme="minorHAnsi"/>
                <w:b/>
              </w:rPr>
              <w:t>Abstract: 87</w:t>
            </w:r>
          </w:p>
        </w:tc>
        <w:tc>
          <w:tcPr>
            <w:tcW w:w="4507" w:type="dxa"/>
          </w:tcPr>
          <w:p w14:paraId="0240E894" w14:textId="715BE0C6" w:rsidR="00ED483F" w:rsidRPr="00AF3942" w:rsidRDefault="00EE1248" w:rsidP="00AF3942">
            <w:pPr>
              <w:spacing w:before="60" w:after="60"/>
              <w:ind w:right="-187"/>
              <w:rPr>
                <w:rFonts w:cstheme="minorHAnsi"/>
                <w:b/>
                <w:lang w:eastAsia="ja-JP"/>
              </w:rPr>
            </w:pPr>
            <w:r>
              <w:rPr>
                <w:rFonts w:cstheme="minorHAnsi"/>
                <w:b/>
                <w:lang w:eastAsia="ja-JP"/>
              </w:rPr>
              <w:t>Poster P.5.3</w:t>
            </w:r>
          </w:p>
        </w:tc>
      </w:tr>
      <w:tr w:rsidR="00ED483F" w:rsidRPr="00F92917" w14:paraId="1BD80930" w14:textId="77777777" w:rsidTr="00CE02B0">
        <w:trPr>
          <w:trHeight w:val="461"/>
        </w:trPr>
        <w:tc>
          <w:tcPr>
            <w:tcW w:w="8595" w:type="dxa"/>
            <w:gridSpan w:val="2"/>
          </w:tcPr>
          <w:p w14:paraId="6B1B7011" w14:textId="166B4BB1" w:rsidR="00C60BC5" w:rsidRPr="00F92917" w:rsidRDefault="00ED483F" w:rsidP="00C60BC5">
            <w:pPr>
              <w:spacing w:before="60" w:after="60"/>
              <w:ind w:right="-187"/>
              <w:rPr>
                <w:rFonts w:cstheme="minorHAnsi"/>
                <w:bCs/>
                <w:lang w:val="de-DE" w:eastAsia="ja-JP"/>
              </w:rPr>
            </w:pPr>
            <w:r w:rsidRPr="0051751D">
              <w:rPr>
                <w:rFonts w:cstheme="minorHAnsi"/>
                <w:b/>
                <w:lang w:val="de-DE"/>
              </w:rPr>
              <w:t>Author</w:t>
            </w:r>
            <w:r w:rsidR="00AF3942" w:rsidRPr="0051751D">
              <w:rPr>
                <w:rFonts w:cstheme="minorHAnsi"/>
                <w:b/>
                <w:lang w:val="de-DE" w:eastAsia="ja-JP"/>
              </w:rPr>
              <w:t>:</w:t>
            </w:r>
            <w:r w:rsidR="00F92917">
              <w:rPr>
                <w:rFonts w:cstheme="minorHAnsi"/>
                <w:b/>
                <w:lang w:val="de-DE" w:eastAsia="ja-JP"/>
              </w:rPr>
              <w:t xml:space="preserve"> </w:t>
            </w:r>
            <w:r w:rsidR="00F92917" w:rsidRPr="00F92917">
              <w:rPr>
                <w:rFonts w:cstheme="minorHAnsi"/>
                <w:bCs/>
                <w:lang w:val="de-DE" w:eastAsia="ja-JP"/>
              </w:rPr>
              <w:t>Nicolas Bruyer</w:t>
            </w:r>
            <w:r w:rsidR="00F92917" w:rsidRPr="00F92917">
              <w:rPr>
                <w:rFonts w:cstheme="minorHAnsi"/>
                <w:bCs/>
                <w:vertAlign w:val="superscript"/>
                <w:lang w:val="de-DE" w:eastAsia="ja-JP"/>
              </w:rPr>
              <w:t>1</w:t>
            </w:r>
            <w:r w:rsidR="000B1C30">
              <w:rPr>
                <w:rFonts w:cstheme="minorHAnsi"/>
                <w:bCs/>
                <w:vertAlign w:val="superscript"/>
                <w:lang w:val="de-DE" w:eastAsia="ja-JP"/>
              </w:rPr>
              <w:t xml:space="preserve"> </w:t>
            </w:r>
            <w:r w:rsidR="000B1C30">
              <w:rPr>
                <w:rFonts w:cstheme="minorHAnsi"/>
                <w:bCs/>
                <w:lang w:val="de-DE" w:eastAsia="ja-JP"/>
              </w:rPr>
              <w:t>(</w:t>
            </w:r>
            <w:hyperlink r:id="rId11" w:history="1">
              <w:r w:rsidR="000B1C30" w:rsidRPr="00C93851">
                <w:rPr>
                  <w:rStyle w:val="Hyperlink"/>
                  <w:rFonts w:cstheme="minorHAnsi"/>
                  <w:bCs/>
                  <w:lang w:val="de-DE" w:eastAsia="ja-JP"/>
                </w:rPr>
                <w:t>nicolas.bruyer@andra.fr</w:t>
              </w:r>
            </w:hyperlink>
            <w:r w:rsidR="000B1C30">
              <w:rPr>
                <w:rFonts w:cstheme="minorHAnsi"/>
                <w:bCs/>
                <w:lang w:val="de-DE" w:eastAsia="ja-JP"/>
              </w:rPr>
              <w:t>) ,</w:t>
            </w:r>
            <w:r w:rsidR="00F92917" w:rsidRPr="00F92917">
              <w:rPr>
                <w:rFonts w:cstheme="minorHAnsi"/>
                <w:bCs/>
                <w:lang w:val="de-DE" w:eastAsia="ja-JP"/>
              </w:rPr>
              <w:t xml:space="preserve"> Rémi </w:t>
            </w:r>
            <w:r w:rsidR="00345967" w:rsidRPr="00F92917">
              <w:rPr>
                <w:rFonts w:cstheme="minorHAnsi"/>
                <w:bCs/>
                <w:lang w:val="de-DE" w:eastAsia="ja-JP"/>
              </w:rPr>
              <w:t>Courte</w:t>
            </w:r>
            <w:r w:rsidR="00345967">
              <w:rPr>
                <w:rFonts w:cstheme="minorHAnsi"/>
                <w:bCs/>
                <w:lang w:val="de-DE" w:eastAsia="ja-JP"/>
              </w:rPr>
              <w:t>c</w:t>
            </w:r>
            <w:r w:rsidR="00345967" w:rsidRPr="00F92917">
              <w:rPr>
                <w:rFonts w:cstheme="minorHAnsi"/>
                <w:bCs/>
                <w:lang w:val="de-DE" w:eastAsia="ja-JP"/>
              </w:rPr>
              <w:t>uisse</w:t>
            </w:r>
            <w:r w:rsidR="00345967" w:rsidRPr="00F92917">
              <w:rPr>
                <w:rFonts w:cstheme="minorHAnsi"/>
                <w:bCs/>
                <w:vertAlign w:val="superscript"/>
                <w:lang w:val="de-DE" w:eastAsia="ja-JP"/>
              </w:rPr>
              <w:t>1</w:t>
            </w:r>
            <w:r w:rsidR="000B1C30">
              <w:rPr>
                <w:rFonts w:cstheme="minorHAnsi"/>
                <w:bCs/>
                <w:vertAlign w:val="superscript"/>
                <w:lang w:val="de-DE" w:eastAsia="ja-JP"/>
              </w:rPr>
              <w:t xml:space="preserve"> </w:t>
            </w:r>
            <w:r w:rsidR="000B1C30">
              <w:rPr>
                <w:rFonts w:cstheme="minorHAnsi"/>
                <w:bCs/>
                <w:lang w:val="de-DE" w:eastAsia="ja-JP"/>
              </w:rPr>
              <w:t>(</w:t>
            </w:r>
            <w:hyperlink r:id="rId12" w:history="1">
              <w:r w:rsidR="000B1C30" w:rsidRPr="00C93851">
                <w:rPr>
                  <w:rStyle w:val="Hyperlink"/>
                  <w:rFonts w:cstheme="minorHAnsi"/>
                  <w:bCs/>
                  <w:lang w:val="de-DE" w:eastAsia="ja-JP"/>
                </w:rPr>
                <w:t>rémi.coutecuisse@andra.fr</w:t>
              </w:r>
            </w:hyperlink>
            <w:r w:rsidR="000B1C30">
              <w:rPr>
                <w:rFonts w:cstheme="minorHAnsi"/>
                <w:bCs/>
                <w:lang w:val="de-DE" w:eastAsia="ja-JP"/>
              </w:rPr>
              <w:t xml:space="preserve">), </w:t>
            </w:r>
            <w:r w:rsidR="00F92917" w:rsidRPr="00F92917">
              <w:rPr>
                <w:rFonts w:cstheme="minorHAnsi"/>
                <w:bCs/>
                <w:lang w:val="de-DE" w:eastAsia="ja-JP"/>
              </w:rPr>
              <w:t xml:space="preserve"> Lise Griffault</w:t>
            </w:r>
            <w:r w:rsidR="00F92917" w:rsidRPr="00F92917">
              <w:rPr>
                <w:rFonts w:cstheme="minorHAnsi"/>
                <w:bCs/>
                <w:vertAlign w:val="superscript"/>
                <w:lang w:val="de-DE" w:eastAsia="ja-JP"/>
              </w:rPr>
              <w:t>1</w:t>
            </w:r>
            <w:r w:rsidR="000B1C30">
              <w:rPr>
                <w:rFonts w:cstheme="minorHAnsi"/>
                <w:bCs/>
                <w:vertAlign w:val="superscript"/>
                <w:lang w:val="de-DE" w:eastAsia="ja-JP"/>
              </w:rPr>
              <w:t xml:space="preserve">  </w:t>
            </w:r>
            <w:r w:rsidR="000B1C30">
              <w:rPr>
                <w:rFonts w:cstheme="minorHAnsi"/>
                <w:bCs/>
                <w:lang w:val="de-DE" w:eastAsia="ja-JP"/>
              </w:rPr>
              <w:t>(</w:t>
            </w:r>
            <w:hyperlink r:id="rId13" w:history="1">
              <w:r w:rsidR="000B1C30" w:rsidRPr="00C93851">
                <w:rPr>
                  <w:rStyle w:val="Hyperlink"/>
                  <w:rFonts w:cstheme="minorHAnsi"/>
                  <w:bCs/>
                  <w:lang w:val="de-DE" w:eastAsia="ja-JP"/>
                </w:rPr>
                <w:t>lise.griffault@andra.fr</w:t>
              </w:r>
            </w:hyperlink>
            <w:r w:rsidR="000B1C30">
              <w:rPr>
                <w:rFonts w:cstheme="minorHAnsi"/>
                <w:bCs/>
                <w:lang w:val="de-DE" w:eastAsia="ja-JP"/>
              </w:rPr>
              <w:t xml:space="preserve">), </w:t>
            </w:r>
            <w:r w:rsidR="00F92917" w:rsidRPr="00F92917">
              <w:rPr>
                <w:rFonts w:cstheme="minorHAnsi"/>
                <w:bCs/>
                <w:lang w:val="de-DE" w:eastAsia="ja-JP"/>
              </w:rPr>
              <w:t>Sylvie Voinis</w:t>
            </w:r>
            <w:r w:rsidR="00F92917" w:rsidRPr="00F92917">
              <w:rPr>
                <w:rFonts w:cstheme="minorHAnsi"/>
                <w:bCs/>
                <w:vertAlign w:val="superscript"/>
                <w:lang w:val="de-DE" w:eastAsia="ja-JP"/>
              </w:rPr>
              <w:t>1</w:t>
            </w:r>
            <w:r w:rsidR="00F92917" w:rsidRPr="00F92917">
              <w:rPr>
                <w:rFonts w:cstheme="minorHAnsi"/>
                <w:bCs/>
                <w:lang w:val="de-DE" w:eastAsia="ja-JP"/>
              </w:rPr>
              <w:t xml:space="preserve"> </w:t>
            </w:r>
            <w:r w:rsidR="000B1C30">
              <w:rPr>
                <w:rFonts w:cstheme="minorHAnsi"/>
                <w:bCs/>
                <w:lang w:val="de-DE" w:eastAsia="ja-JP"/>
              </w:rPr>
              <w:t>(</w:t>
            </w:r>
            <w:hyperlink r:id="rId14" w:history="1">
              <w:r w:rsidR="000B1C30" w:rsidRPr="00C93851">
                <w:rPr>
                  <w:rStyle w:val="Hyperlink"/>
                  <w:rFonts w:cstheme="minorHAnsi"/>
                  <w:bCs/>
                  <w:lang w:val="de-DE" w:eastAsia="ja-JP"/>
                </w:rPr>
                <w:t>sylvie.voinis@andra.fr</w:t>
              </w:r>
            </w:hyperlink>
            <w:r w:rsidR="000B1C30">
              <w:rPr>
                <w:rFonts w:cstheme="minorHAnsi"/>
                <w:bCs/>
                <w:lang w:val="de-DE" w:eastAsia="ja-JP"/>
              </w:rPr>
              <w:t xml:space="preserve">) </w:t>
            </w:r>
          </w:p>
          <w:p w14:paraId="2B646CF7" w14:textId="164820FF" w:rsidR="00F92917" w:rsidRPr="00F92917" w:rsidRDefault="00F92917" w:rsidP="00F92917">
            <w:pPr>
              <w:pStyle w:val="ListParagraph"/>
              <w:numPr>
                <w:ilvl w:val="0"/>
                <w:numId w:val="4"/>
              </w:numPr>
              <w:spacing w:before="60" w:after="60"/>
              <w:ind w:right="-187"/>
              <w:rPr>
                <w:rFonts w:cstheme="minorHAnsi"/>
                <w:bCs/>
                <w:lang w:val="de-DE" w:eastAsia="ja-JP"/>
              </w:rPr>
            </w:pPr>
            <w:r w:rsidRPr="00F92917">
              <w:rPr>
                <w:rFonts w:cstheme="minorHAnsi"/>
                <w:bCs/>
                <w:lang w:val="de-DE" w:eastAsia="ja-JP"/>
              </w:rPr>
              <w:t>Andra</w:t>
            </w:r>
            <w:r w:rsidR="000B1C30">
              <w:rPr>
                <w:rFonts w:cstheme="minorHAnsi"/>
                <w:bCs/>
                <w:lang w:val="de-DE" w:eastAsia="ja-JP"/>
              </w:rPr>
              <w:t xml:space="preserve"> </w:t>
            </w:r>
            <w:r w:rsidRPr="00F92917">
              <w:rPr>
                <w:rFonts w:cstheme="minorHAnsi"/>
                <w:bCs/>
                <w:lang w:val="de-DE" w:eastAsia="ja-JP"/>
              </w:rPr>
              <w:t xml:space="preserve"> </w:t>
            </w:r>
          </w:p>
          <w:p w14:paraId="286DEADE" w14:textId="77777777" w:rsidR="00AF3942" w:rsidRPr="0051751D" w:rsidRDefault="00AF3942" w:rsidP="001B1D75">
            <w:pPr>
              <w:spacing w:before="60" w:after="60"/>
              <w:ind w:right="-187"/>
              <w:rPr>
                <w:rFonts w:cstheme="minorHAnsi"/>
                <w:b/>
                <w:lang w:val="de-DE" w:eastAsia="ja-JP"/>
              </w:rPr>
            </w:pPr>
          </w:p>
        </w:tc>
      </w:tr>
      <w:tr w:rsidR="00ED483F" w:rsidRPr="00AF3942" w14:paraId="3A0B6CB2" w14:textId="77777777" w:rsidTr="00CE02B0">
        <w:trPr>
          <w:trHeight w:val="952"/>
        </w:trPr>
        <w:tc>
          <w:tcPr>
            <w:tcW w:w="8595" w:type="dxa"/>
            <w:gridSpan w:val="2"/>
          </w:tcPr>
          <w:p w14:paraId="49E5354D" w14:textId="77777777" w:rsidR="009249FD"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5A4221DA" w14:textId="202AA33F" w:rsidR="00F92917" w:rsidRPr="00CE02B0" w:rsidRDefault="00A33443" w:rsidP="00F92917">
            <w:pPr>
              <w:spacing w:before="60" w:after="60"/>
              <w:ind w:right="-187"/>
              <w:rPr>
                <w:rFonts w:cstheme="minorHAnsi"/>
                <w:bCs/>
                <w:lang w:eastAsia="ja-JP"/>
              </w:rPr>
            </w:pPr>
            <w:r>
              <w:rPr>
                <w:rFonts w:cstheme="minorHAnsi"/>
                <w:bCs/>
                <w:lang w:eastAsia="ja-JP"/>
              </w:rPr>
              <w:t>The</w:t>
            </w:r>
            <w:r w:rsidR="00F92917" w:rsidRPr="00CE02B0">
              <w:rPr>
                <w:rFonts w:cstheme="minorHAnsi"/>
                <w:bCs/>
                <w:lang w:eastAsia="ja-JP"/>
              </w:rPr>
              <w:t xml:space="preserve"> management of risks and uncertainties in the post-closure safety assessment and the use of FEP's in a top-down </w:t>
            </w:r>
            <w:r w:rsidR="00F0383D" w:rsidRPr="00CE02B0">
              <w:rPr>
                <w:rFonts w:cstheme="minorHAnsi"/>
                <w:bCs/>
                <w:lang w:eastAsia="ja-JP"/>
              </w:rPr>
              <w:t>approach.</w:t>
            </w:r>
          </w:p>
          <w:p w14:paraId="5C1916FB" w14:textId="77777777" w:rsidR="00C60BC5" w:rsidRPr="00AF3942" w:rsidRDefault="00C60BC5" w:rsidP="00C60BC5">
            <w:pPr>
              <w:spacing w:before="60" w:after="60"/>
              <w:ind w:right="-187"/>
              <w:rPr>
                <w:rFonts w:cstheme="minorHAnsi"/>
                <w:b/>
              </w:rPr>
            </w:pPr>
          </w:p>
          <w:p w14:paraId="49937C11" w14:textId="77777777" w:rsidR="00C60BC5" w:rsidRPr="00AF3942" w:rsidRDefault="00C60BC5" w:rsidP="00C60BC5">
            <w:pPr>
              <w:spacing w:before="60" w:after="60"/>
              <w:ind w:right="-187"/>
              <w:rPr>
                <w:rFonts w:cstheme="minorHAnsi"/>
                <w:b/>
              </w:rPr>
            </w:pPr>
          </w:p>
        </w:tc>
      </w:tr>
      <w:tr w:rsidR="00285532" w:rsidRPr="00AF3942" w14:paraId="634A57D2" w14:textId="77777777" w:rsidTr="00CE02B0">
        <w:trPr>
          <w:trHeight w:val="2950"/>
        </w:trPr>
        <w:tc>
          <w:tcPr>
            <w:tcW w:w="8595" w:type="dxa"/>
            <w:gridSpan w:val="2"/>
            <w:tcBorders>
              <w:bottom w:val="single" w:sz="4" w:space="0" w:color="auto"/>
            </w:tcBorders>
          </w:tcPr>
          <w:p w14:paraId="6355BE4E" w14:textId="77777777" w:rsidR="00285532" w:rsidRDefault="00AF3942" w:rsidP="00C60BC5">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7796AC9C" w14:textId="362FFD94" w:rsidR="00A33443" w:rsidRPr="000B1C30" w:rsidRDefault="00A33443" w:rsidP="00F92917">
            <w:pPr>
              <w:pStyle w:val="BodyText"/>
              <w:jc w:val="both"/>
              <w:rPr>
                <w:rFonts w:cstheme="minorHAnsi"/>
                <w:lang w:val="en-US" w:eastAsia="ja-JP"/>
              </w:rPr>
            </w:pPr>
            <w:r w:rsidRPr="000B1C30">
              <w:rPr>
                <w:rFonts w:cstheme="minorHAnsi"/>
                <w:lang w:val="en-US" w:eastAsia="ja-JP"/>
              </w:rPr>
              <w:t xml:space="preserve">The paper and the poster presentation aim to provide an overall description of the </w:t>
            </w:r>
            <w:r w:rsidRPr="000B1C30">
              <w:rPr>
                <w:rFonts w:cstheme="minorHAnsi"/>
                <w:lang w:val="en-GB" w:eastAsia="ja-JP"/>
              </w:rPr>
              <w:t xml:space="preserve">qualitative analysis of risks and residual uncertainties (ARI) considered as a key part of the post-closure safety assessment. It completes the paper on lessons learnt from the </w:t>
            </w:r>
            <w:proofErr w:type="gramStart"/>
            <w:r w:rsidRPr="000B1C30">
              <w:rPr>
                <w:rFonts w:cstheme="minorHAnsi"/>
                <w:lang w:val="en-GB" w:eastAsia="ja-JP"/>
              </w:rPr>
              <w:t>Young</w:t>
            </w:r>
            <w:proofErr w:type="gramEnd"/>
            <w:r w:rsidRPr="000B1C30">
              <w:rPr>
                <w:rFonts w:cstheme="minorHAnsi"/>
                <w:lang w:val="en-GB" w:eastAsia="ja-JP"/>
              </w:rPr>
              <w:t xml:space="preserve"> generation perspective and the oral presentation.  </w:t>
            </w:r>
          </w:p>
          <w:p w14:paraId="6C316300" w14:textId="5C850ED3" w:rsidR="00CE02B0" w:rsidRPr="000B1C30" w:rsidRDefault="00F92917" w:rsidP="00F92917">
            <w:pPr>
              <w:pStyle w:val="BodyText"/>
              <w:jc w:val="both"/>
              <w:rPr>
                <w:rFonts w:cstheme="minorHAnsi"/>
                <w:lang w:val="en-US" w:eastAsia="ja-JP"/>
              </w:rPr>
            </w:pPr>
            <w:r w:rsidRPr="000B1C30">
              <w:rPr>
                <w:rFonts w:cstheme="minorHAnsi"/>
                <w:lang w:val="en-US" w:eastAsia="ja-JP"/>
              </w:rPr>
              <w:t xml:space="preserve">Strong of over 30 years of experience and site knowledge, residual risks and uncertainties are put by Andra at the core of the definition of post-closure safety scenario quantified in the safety assessment </w:t>
            </w:r>
            <w:proofErr w:type="gramStart"/>
            <w:r w:rsidRPr="000B1C30">
              <w:rPr>
                <w:rFonts w:cstheme="minorHAnsi"/>
                <w:lang w:val="en-US" w:eastAsia="ja-JP"/>
              </w:rPr>
              <w:t>so as to</w:t>
            </w:r>
            <w:proofErr w:type="gramEnd"/>
            <w:r w:rsidRPr="000B1C30">
              <w:rPr>
                <w:rFonts w:cstheme="minorHAnsi"/>
                <w:lang w:val="en-US" w:eastAsia="ja-JP"/>
              </w:rPr>
              <w:t xml:space="preserve"> not lower the robustness of the safety case. </w:t>
            </w:r>
          </w:p>
          <w:p w14:paraId="29F3AD58" w14:textId="1E11971D" w:rsidR="00CE02B0" w:rsidRPr="000B1C30" w:rsidRDefault="00CE02B0" w:rsidP="00CE02B0">
            <w:pPr>
              <w:pStyle w:val="BodyText"/>
              <w:jc w:val="both"/>
              <w:rPr>
                <w:rFonts w:cstheme="minorHAnsi"/>
                <w:lang w:val="en-GB" w:eastAsia="ja-JP"/>
              </w:rPr>
            </w:pPr>
            <w:r w:rsidRPr="000B1C30">
              <w:rPr>
                <w:rFonts w:cstheme="minorHAnsi"/>
                <w:lang w:val="en-GB" w:eastAsia="ja-JP"/>
              </w:rPr>
              <w:t>Identification and classification of scenarios in the post-closure safety is the fundamental basis for the</w:t>
            </w:r>
            <w:r w:rsidR="00385E7B" w:rsidRPr="000B1C30">
              <w:rPr>
                <w:rFonts w:cstheme="minorHAnsi"/>
                <w:lang w:val="en-GB" w:eastAsia="ja-JP"/>
              </w:rPr>
              <w:t xml:space="preserve"> PA assessment and for checking the</w:t>
            </w:r>
            <w:r w:rsidRPr="000B1C30">
              <w:rPr>
                <w:rFonts w:cstheme="minorHAnsi"/>
                <w:lang w:val="en-GB" w:eastAsia="ja-JP"/>
              </w:rPr>
              <w:t xml:space="preserve"> robustness of the disposal system as well as the impact on human</w:t>
            </w:r>
            <w:r w:rsidR="004B08F6" w:rsidRPr="000B1C30">
              <w:rPr>
                <w:rFonts w:cstheme="minorHAnsi"/>
                <w:lang w:val="en-GB" w:eastAsia="ja-JP"/>
              </w:rPr>
              <w:t>.</w:t>
            </w:r>
            <w:r w:rsidR="00385E7B" w:rsidRPr="000B1C30">
              <w:rPr>
                <w:rFonts w:cstheme="minorHAnsi"/>
                <w:lang w:val="en-GB" w:eastAsia="ja-JP"/>
              </w:rPr>
              <w:t xml:space="preserve"> </w:t>
            </w:r>
            <w:r w:rsidRPr="000B1C30">
              <w:rPr>
                <w:rFonts w:cstheme="minorHAnsi"/>
                <w:lang w:val="en-GB" w:eastAsia="ja-JP"/>
              </w:rPr>
              <w:t>Since the 2000s, Andra ha</w:t>
            </w:r>
            <w:r w:rsidR="00385E7B" w:rsidRPr="000B1C30">
              <w:rPr>
                <w:rFonts w:cstheme="minorHAnsi"/>
                <w:lang w:val="en-GB" w:eastAsia="ja-JP"/>
              </w:rPr>
              <w:t>s</w:t>
            </w:r>
            <w:r w:rsidRPr="000B1C30">
              <w:rPr>
                <w:rFonts w:cstheme="minorHAnsi"/>
                <w:lang w:val="en-GB" w:eastAsia="ja-JP"/>
              </w:rPr>
              <w:t xml:space="preserve"> </w:t>
            </w:r>
            <w:r w:rsidR="00385E7B" w:rsidRPr="000B1C30">
              <w:rPr>
                <w:rFonts w:cstheme="minorHAnsi"/>
                <w:lang w:val="en-GB" w:eastAsia="ja-JP"/>
              </w:rPr>
              <w:t>used</w:t>
            </w:r>
            <w:r w:rsidRPr="000B1C30">
              <w:rPr>
                <w:rFonts w:cstheme="minorHAnsi"/>
                <w:lang w:val="en-GB" w:eastAsia="ja-JP"/>
              </w:rPr>
              <w:t xml:space="preserve"> a “Top down” approach</w:t>
            </w:r>
            <w:r w:rsidR="00385E7B" w:rsidRPr="000B1C30">
              <w:rPr>
                <w:rFonts w:cstheme="minorHAnsi"/>
                <w:lang w:val="en-GB" w:eastAsia="ja-JP"/>
              </w:rPr>
              <w:t>, m</w:t>
            </w:r>
            <w:r w:rsidRPr="000B1C30">
              <w:rPr>
                <w:rFonts w:cstheme="minorHAnsi"/>
                <w:lang w:val="en-GB" w:eastAsia="ja-JP"/>
              </w:rPr>
              <w:t xml:space="preserve">eaning that identification of scenario lays on </w:t>
            </w:r>
            <w:r w:rsidR="00385E7B" w:rsidRPr="000B1C30">
              <w:rPr>
                <w:rFonts w:cstheme="minorHAnsi"/>
                <w:lang w:val="en-GB" w:eastAsia="ja-JP"/>
              </w:rPr>
              <w:t>an</w:t>
            </w:r>
            <w:r w:rsidRPr="000B1C30">
              <w:rPr>
                <w:rFonts w:cstheme="minorHAnsi"/>
                <w:lang w:val="en-GB" w:eastAsia="ja-JP"/>
              </w:rPr>
              <w:t xml:space="preserve"> identification of safety functions, description of the disposal system of the DGR and its post-closure evolution</w:t>
            </w:r>
            <w:r w:rsidR="00A33443" w:rsidRPr="000B1C30">
              <w:rPr>
                <w:rFonts w:cstheme="minorHAnsi"/>
                <w:lang w:val="en-GB" w:eastAsia="ja-JP"/>
              </w:rPr>
              <w:t>.</w:t>
            </w:r>
            <w:r w:rsidRPr="000B1C30">
              <w:rPr>
                <w:rFonts w:cstheme="minorHAnsi"/>
                <w:lang w:val="en-GB" w:eastAsia="ja-JP"/>
              </w:rPr>
              <w:t xml:space="preserve"> </w:t>
            </w:r>
          </w:p>
          <w:p w14:paraId="769F9AC8" w14:textId="16974030" w:rsidR="004B08F6" w:rsidRPr="000B1C30" w:rsidRDefault="00BB50B2" w:rsidP="00BB50B2">
            <w:pPr>
              <w:pStyle w:val="BodyText"/>
              <w:jc w:val="both"/>
              <w:rPr>
                <w:rFonts w:cstheme="minorHAnsi"/>
                <w:lang w:val="en-GB" w:eastAsia="ja-JP"/>
              </w:rPr>
            </w:pPr>
            <w:r w:rsidRPr="000B1C30">
              <w:rPr>
                <w:rFonts w:cstheme="minorHAnsi"/>
                <w:lang w:val="en-GB" w:eastAsia="ja-JP"/>
              </w:rPr>
              <w:t xml:space="preserve">The goal of the qualitative analysis of risks and residual uncertainties (ARI) developed by Andra in accordance with national and international guides, is to check if the events, processes, and the uncertainties can affect, or not, a safety function of a component of the disposal system or affect significatively the migration </w:t>
            </w:r>
            <w:r w:rsidR="004B08F6" w:rsidRPr="000B1C30">
              <w:rPr>
                <w:rFonts w:cstheme="minorHAnsi"/>
                <w:lang w:val="en-GB" w:eastAsia="ja-JP"/>
              </w:rPr>
              <w:t xml:space="preserve">of radionuclides </w:t>
            </w:r>
            <w:r w:rsidRPr="000B1C30">
              <w:rPr>
                <w:rFonts w:cstheme="minorHAnsi"/>
                <w:lang w:val="en-GB" w:eastAsia="ja-JP"/>
              </w:rPr>
              <w:t xml:space="preserve">in a component </w:t>
            </w:r>
            <w:r w:rsidR="004B08F6" w:rsidRPr="000B1C30">
              <w:rPr>
                <w:rFonts w:cstheme="minorHAnsi"/>
                <w:lang w:val="en-GB" w:eastAsia="ja-JP"/>
              </w:rPr>
              <w:t xml:space="preserve">and the </w:t>
            </w:r>
            <w:r w:rsidRPr="000B1C30">
              <w:rPr>
                <w:rFonts w:cstheme="minorHAnsi"/>
                <w:lang w:val="en-GB" w:eastAsia="ja-JP"/>
              </w:rPr>
              <w:t xml:space="preserve">pathway </w:t>
            </w:r>
            <w:r w:rsidR="004B08F6" w:rsidRPr="000B1C30">
              <w:rPr>
                <w:rFonts w:cstheme="minorHAnsi"/>
                <w:lang w:val="en-GB" w:eastAsia="ja-JP"/>
              </w:rPr>
              <w:t>to an outlet</w:t>
            </w:r>
            <w:r w:rsidRPr="000B1C30">
              <w:rPr>
                <w:rFonts w:cstheme="minorHAnsi"/>
                <w:lang w:val="en-GB" w:eastAsia="ja-JP"/>
              </w:rPr>
              <w:t xml:space="preserve">. </w:t>
            </w:r>
          </w:p>
          <w:p w14:paraId="0854917B" w14:textId="1BD77E74" w:rsidR="00BB50B2" w:rsidRPr="000B1C30" w:rsidRDefault="00C11B47" w:rsidP="00BB50B2">
            <w:pPr>
              <w:pStyle w:val="BodyText"/>
              <w:jc w:val="both"/>
              <w:rPr>
                <w:rFonts w:cstheme="minorHAnsi"/>
                <w:lang w:val="en-GB" w:eastAsia="ja-JP"/>
              </w:rPr>
            </w:pPr>
            <w:r w:rsidRPr="000B1C30">
              <w:rPr>
                <w:rFonts w:cstheme="minorHAnsi"/>
                <w:lang w:val="en-GB" w:eastAsia="ja-JP"/>
              </w:rPr>
              <w:t>The</w:t>
            </w:r>
            <w:r w:rsidR="00BB50B2" w:rsidRPr="000B1C30">
              <w:rPr>
                <w:rFonts w:cstheme="minorHAnsi"/>
                <w:lang w:val="en-GB" w:eastAsia="ja-JP"/>
              </w:rPr>
              <w:t xml:space="preserve"> ARI </w:t>
            </w:r>
            <w:r w:rsidRPr="000B1C30">
              <w:rPr>
                <w:rFonts w:cstheme="minorHAnsi"/>
                <w:lang w:val="en-GB" w:eastAsia="ja-JP"/>
              </w:rPr>
              <w:t xml:space="preserve">is a tool to manage risks and the </w:t>
            </w:r>
            <w:r w:rsidR="00BB50B2" w:rsidRPr="000B1C30">
              <w:rPr>
                <w:rFonts w:cstheme="minorHAnsi"/>
                <w:lang w:val="en-GB" w:eastAsia="ja-JP"/>
              </w:rPr>
              <w:t xml:space="preserve">residual uncertainties </w:t>
            </w:r>
            <w:r w:rsidRPr="000B1C30">
              <w:rPr>
                <w:rFonts w:cstheme="minorHAnsi"/>
                <w:lang w:val="en-GB" w:eastAsia="ja-JP"/>
              </w:rPr>
              <w:t>based on the scientific, design state of knowledge and so identifies the measures to mitigate them</w:t>
            </w:r>
            <w:r w:rsidR="00BB50B2" w:rsidRPr="000B1C30">
              <w:rPr>
                <w:rFonts w:cstheme="minorHAnsi"/>
                <w:lang w:val="en-GB" w:eastAsia="ja-JP"/>
              </w:rPr>
              <w:t xml:space="preserve">: </w:t>
            </w:r>
          </w:p>
          <w:p w14:paraId="2F5DC0A0" w14:textId="77777777" w:rsidR="00BB50B2" w:rsidRPr="000B1C30" w:rsidRDefault="00BB50B2" w:rsidP="004B08F6">
            <w:pPr>
              <w:pStyle w:val="ListBullet1"/>
              <w:rPr>
                <w:rFonts w:asciiTheme="minorHAnsi" w:hAnsiTheme="minorHAnsi" w:cstheme="minorHAnsi"/>
                <w:sz w:val="22"/>
                <w:szCs w:val="22"/>
              </w:rPr>
            </w:pPr>
            <w:r w:rsidRPr="000B1C30">
              <w:rPr>
                <w:rFonts w:asciiTheme="minorHAnsi" w:hAnsiTheme="minorHAnsi" w:cstheme="minorHAnsi"/>
                <w:sz w:val="22"/>
                <w:szCs w:val="22"/>
              </w:rPr>
              <w:t>by design: for example, the thermic dimensioning of the DGR quarters (extension, spacing…) covers risks and uncertainties associated to the thermic influence of HLW wastes on the clay layer, pillar component of the safety of the DGR.</w:t>
            </w:r>
          </w:p>
          <w:p w14:paraId="3AB382A8" w14:textId="4CC7418B" w:rsidR="00BB50B2" w:rsidRPr="000B1C30" w:rsidRDefault="00BB50B2" w:rsidP="004B08F6">
            <w:pPr>
              <w:pStyle w:val="ListBullet1"/>
              <w:rPr>
                <w:rFonts w:asciiTheme="minorHAnsi" w:hAnsiTheme="minorHAnsi" w:cstheme="minorHAnsi"/>
                <w:sz w:val="22"/>
                <w:szCs w:val="22"/>
              </w:rPr>
            </w:pPr>
            <w:r w:rsidRPr="000B1C30">
              <w:rPr>
                <w:rFonts w:asciiTheme="minorHAnsi" w:hAnsiTheme="minorHAnsi" w:cstheme="minorHAnsi"/>
                <w:sz w:val="22"/>
                <w:szCs w:val="22"/>
              </w:rPr>
              <w:t xml:space="preserve">in the “normal evolution scenario”: for example, </w:t>
            </w:r>
            <w:r w:rsidR="00F0383D" w:rsidRPr="000B1C30">
              <w:rPr>
                <w:rFonts w:asciiTheme="minorHAnsi" w:hAnsiTheme="minorHAnsi" w:cstheme="minorHAnsi"/>
                <w:sz w:val="22"/>
                <w:szCs w:val="22"/>
              </w:rPr>
              <w:t>considering</w:t>
            </w:r>
            <w:r w:rsidRPr="000B1C30">
              <w:rPr>
                <w:rFonts w:asciiTheme="minorHAnsi" w:hAnsiTheme="minorHAnsi" w:cstheme="minorHAnsi"/>
                <w:sz w:val="22"/>
                <w:szCs w:val="22"/>
              </w:rPr>
              <w:t xml:space="preserve"> the plausible spatial variability</w:t>
            </w:r>
            <w:r w:rsidR="00345967" w:rsidRPr="000B1C30">
              <w:rPr>
                <w:rFonts w:asciiTheme="minorHAnsi" w:hAnsiTheme="minorHAnsi" w:cstheme="minorHAnsi"/>
                <w:sz w:val="22"/>
                <w:szCs w:val="22"/>
              </w:rPr>
              <w:t xml:space="preserve"> of chemical composition of </w:t>
            </w:r>
            <w:proofErr w:type="gramStart"/>
            <w:r w:rsidR="00345967" w:rsidRPr="000B1C30">
              <w:rPr>
                <w:rFonts w:asciiTheme="minorHAnsi" w:hAnsiTheme="minorHAnsi" w:cstheme="minorHAnsi"/>
                <w:sz w:val="22"/>
                <w:szCs w:val="22"/>
              </w:rPr>
              <w:t>water</w:t>
            </w:r>
            <w:r w:rsidR="00F93BA2" w:rsidRPr="000B1C30">
              <w:rPr>
                <w:rFonts w:asciiTheme="minorHAnsi" w:hAnsiTheme="minorHAnsi" w:cstheme="minorHAnsi"/>
                <w:sz w:val="22"/>
                <w:szCs w:val="22"/>
              </w:rPr>
              <w:t xml:space="preserve">, </w:t>
            </w:r>
            <w:r w:rsidRPr="000B1C30">
              <w:rPr>
                <w:rFonts w:asciiTheme="minorHAnsi" w:hAnsiTheme="minorHAnsi" w:cstheme="minorHAnsi"/>
                <w:sz w:val="22"/>
                <w:szCs w:val="22"/>
              </w:rPr>
              <w:t xml:space="preserve"> a</w:t>
            </w:r>
            <w:proofErr w:type="gramEnd"/>
            <w:r w:rsidRPr="000B1C30">
              <w:rPr>
                <w:rFonts w:asciiTheme="minorHAnsi" w:hAnsiTheme="minorHAnsi" w:cstheme="minorHAnsi"/>
                <w:sz w:val="22"/>
                <w:szCs w:val="22"/>
              </w:rPr>
              <w:t xml:space="preserve"> unique conservative value of the solubility of a radionuclide for the whole clay layer</w:t>
            </w:r>
            <w:r w:rsidR="00F93BA2" w:rsidRPr="000B1C30">
              <w:rPr>
                <w:rFonts w:asciiTheme="minorHAnsi" w:hAnsiTheme="minorHAnsi" w:cstheme="minorHAnsi"/>
                <w:sz w:val="22"/>
                <w:szCs w:val="22"/>
              </w:rPr>
              <w:t xml:space="preserve"> has been defined</w:t>
            </w:r>
            <w:r w:rsidRPr="000B1C30">
              <w:rPr>
                <w:rFonts w:asciiTheme="minorHAnsi" w:hAnsiTheme="minorHAnsi" w:cstheme="minorHAnsi"/>
                <w:sz w:val="22"/>
                <w:szCs w:val="22"/>
              </w:rPr>
              <w:t>.</w:t>
            </w:r>
          </w:p>
          <w:p w14:paraId="13A83A48" w14:textId="77777777" w:rsidR="00BB50B2" w:rsidRPr="004B08F6" w:rsidRDefault="00BB50B2" w:rsidP="004B08F6">
            <w:pPr>
              <w:pStyle w:val="ListBullet1"/>
              <w:rPr>
                <w:rFonts w:asciiTheme="minorHAnsi" w:hAnsiTheme="minorHAnsi" w:cstheme="minorHAnsi"/>
                <w:sz w:val="22"/>
                <w:szCs w:val="22"/>
              </w:rPr>
            </w:pPr>
            <w:r w:rsidRPr="000B1C30">
              <w:rPr>
                <w:rFonts w:asciiTheme="minorHAnsi" w:hAnsiTheme="minorHAnsi" w:cstheme="minorHAnsi"/>
                <w:sz w:val="22"/>
                <w:szCs w:val="22"/>
              </w:rPr>
              <w:t>in specific scenarios that cover potential causes of malfunction of components contributing to the realization of a post-closure safety function (low to very low</w:t>
            </w:r>
            <w:r w:rsidRPr="004B08F6">
              <w:rPr>
                <w:rFonts w:asciiTheme="minorHAnsi" w:hAnsiTheme="minorHAnsi" w:cstheme="minorHAnsi"/>
                <w:sz w:val="22"/>
                <w:szCs w:val="22"/>
              </w:rPr>
              <w:t xml:space="preserve"> </w:t>
            </w:r>
            <w:r w:rsidRPr="004B08F6">
              <w:rPr>
                <w:rFonts w:asciiTheme="minorHAnsi" w:hAnsiTheme="minorHAnsi" w:cstheme="minorHAnsi"/>
                <w:sz w:val="22"/>
                <w:szCs w:val="22"/>
              </w:rPr>
              <w:lastRenderedPageBreak/>
              <w:t>plausibility of occurrence). A plausible uncertainty that could lead to the loss of a safety function would lead to a new “safety/design/knowledge” iteration.</w:t>
            </w:r>
          </w:p>
          <w:p w14:paraId="5F83B3E0" w14:textId="1433A0D7" w:rsidR="004B08F6" w:rsidRPr="004B08F6" w:rsidRDefault="004B08F6" w:rsidP="004B08F6">
            <w:pPr>
              <w:pStyle w:val="BodyText"/>
              <w:jc w:val="both"/>
              <w:rPr>
                <w:rFonts w:cstheme="minorHAnsi"/>
                <w:lang w:val="en-GB" w:eastAsia="ja-JP"/>
              </w:rPr>
            </w:pPr>
            <w:r w:rsidRPr="004B08F6">
              <w:rPr>
                <w:rFonts w:cstheme="minorHAnsi"/>
                <w:lang w:val="en-GB" w:eastAsia="ja-JP"/>
              </w:rPr>
              <w:t xml:space="preserve">The </w:t>
            </w:r>
            <w:r>
              <w:rPr>
                <w:rFonts w:cstheme="minorHAnsi"/>
                <w:lang w:val="en-GB" w:eastAsia="ja-JP"/>
              </w:rPr>
              <w:t xml:space="preserve">ARI implemented </w:t>
            </w:r>
            <w:r w:rsidRPr="004B08F6">
              <w:rPr>
                <w:rFonts w:cstheme="minorHAnsi"/>
                <w:lang w:val="en-GB" w:eastAsia="ja-JP"/>
              </w:rPr>
              <w:t xml:space="preserve">by Andra was well received by </w:t>
            </w:r>
            <w:r>
              <w:rPr>
                <w:rFonts w:cstheme="minorHAnsi"/>
                <w:lang w:val="en-GB" w:eastAsia="ja-JP"/>
              </w:rPr>
              <w:t xml:space="preserve">the safety authority (as well as the international peer reviews) </w:t>
            </w:r>
            <w:r w:rsidRPr="004B08F6">
              <w:rPr>
                <w:rFonts w:cstheme="minorHAnsi"/>
                <w:lang w:val="en-GB" w:eastAsia="ja-JP"/>
              </w:rPr>
              <w:t xml:space="preserve">that </w:t>
            </w:r>
            <w:r>
              <w:rPr>
                <w:rFonts w:cstheme="minorHAnsi"/>
                <w:lang w:val="en-GB" w:eastAsia="ja-JP"/>
              </w:rPr>
              <w:t>considered</w:t>
            </w:r>
            <w:r w:rsidRPr="004B08F6">
              <w:rPr>
                <w:rFonts w:cstheme="minorHAnsi"/>
                <w:lang w:val="en-GB" w:eastAsia="ja-JP"/>
              </w:rPr>
              <w:t xml:space="preserve"> that (</w:t>
            </w:r>
            <w:proofErr w:type="spellStart"/>
            <w:r w:rsidRPr="004B08F6">
              <w:rPr>
                <w:rFonts w:cstheme="minorHAnsi"/>
                <w:lang w:val="en-GB" w:eastAsia="ja-JP"/>
              </w:rPr>
              <w:t>i</w:t>
            </w:r>
            <w:proofErr w:type="spellEnd"/>
            <w:r w:rsidRPr="004B08F6">
              <w:rPr>
                <w:rFonts w:cstheme="minorHAnsi"/>
                <w:lang w:val="en-GB" w:eastAsia="ja-JP"/>
              </w:rPr>
              <w:t>) it is indeed advisable to integrate them into the project definition process to achieve a robust solution, (ii) that the principles and the methodology are co</w:t>
            </w:r>
            <w:r>
              <w:rPr>
                <w:rFonts w:cstheme="minorHAnsi"/>
                <w:lang w:val="en-GB" w:eastAsia="ja-JP"/>
              </w:rPr>
              <w:t xml:space="preserve">nsistent </w:t>
            </w:r>
            <w:r w:rsidRPr="004B08F6">
              <w:rPr>
                <w:rFonts w:cstheme="minorHAnsi"/>
                <w:lang w:val="en-GB" w:eastAsia="ja-JP"/>
              </w:rPr>
              <w:t xml:space="preserve">with national and international guides and </w:t>
            </w:r>
            <w:r>
              <w:rPr>
                <w:rFonts w:cstheme="minorHAnsi"/>
                <w:lang w:val="en-GB" w:eastAsia="ja-JP"/>
              </w:rPr>
              <w:t xml:space="preserve">that </w:t>
            </w:r>
            <w:r w:rsidRPr="004B08F6">
              <w:rPr>
                <w:rFonts w:cstheme="minorHAnsi"/>
                <w:lang w:val="en-GB" w:eastAsia="ja-JP"/>
              </w:rPr>
              <w:t xml:space="preserve">scenarios </w:t>
            </w:r>
            <w:r>
              <w:rPr>
                <w:rFonts w:cstheme="minorHAnsi"/>
                <w:lang w:val="en-GB" w:eastAsia="ja-JP"/>
              </w:rPr>
              <w:t>resulting from the</w:t>
            </w:r>
            <w:r w:rsidRPr="004B08F6">
              <w:rPr>
                <w:rFonts w:cstheme="minorHAnsi"/>
                <w:lang w:val="en-GB" w:eastAsia="ja-JP"/>
              </w:rPr>
              <w:t xml:space="preserve"> ARI match with the set of plausible scenarios corresponding to various possible long-term situations, including possible subsoil mining. </w:t>
            </w:r>
          </w:p>
          <w:p w14:paraId="7BB4D488" w14:textId="63FC2E32" w:rsidR="003B1F4D" w:rsidRPr="00011325" w:rsidRDefault="003B1F4D" w:rsidP="001B1D75">
            <w:pPr>
              <w:spacing w:before="60" w:after="60"/>
              <w:ind w:right="-187"/>
              <w:rPr>
                <w:rFonts w:cstheme="minorHAnsi"/>
                <w:lang w:eastAsia="ja-JP"/>
              </w:rPr>
            </w:pP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7057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365F9" w14:textId="77777777" w:rsidR="0035408C" w:rsidRDefault="0035408C" w:rsidP="00AF3942">
      <w:pPr>
        <w:spacing w:after="0" w:line="240" w:lineRule="auto"/>
      </w:pPr>
      <w:r>
        <w:separator/>
      </w:r>
    </w:p>
  </w:endnote>
  <w:endnote w:type="continuationSeparator" w:id="0">
    <w:p w14:paraId="6C4763F3" w14:textId="77777777" w:rsidR="0035408C" w:rsidRDefault="0035408C"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ecilia LT Std Roman">
    <w:panose1 w:val="00000500000000000000"/>
    <w:charset w:val="00"/>
    <w:family w:val="modern"/>
    <w:notTrueType/>
    <w:pitch w:val="variable"/>
    <w:sig w:usb0="800000AF" w:usb1="5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7C8C" w14:textId="77777777" w:rsidR="0035408C" w:rsidRDefault="0035408C" w:rsidP="00AF3942">
      <w:pPr>
        <w:spacing w:after="0" w:line="240" w:lineRule="auto"/>
      </w:pPr>
      <w:r>
        <w:separator/>
      </w:r>
    </w:p>
  </w:footnote>
  <w:footnote w:type="continuationSeparator" w:id="0">
    <w:p w14:paraId="2E0074DF" w14:textId="77777777" w:rsidR="0035408C" w:rsidRDefault="0035408C"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5264"/>
    <w:multiLevelType w:val="hybridMultilevel"/>
    <w:tmpl w:val="166C7D24"/>
    <w:lvl w:ilvl="0" w:tplc="6F102822">
      <w:start w:val="1"/>
      <w:numFmt w:val="bullet"/>
      <w:lvlText w:val=""/>
      <w:lvlJc w:val="left"/>
      <w:pPr>
        <w:ind w:left="720" w:hanging="360"/>
      </w:pPr>
      <w:rPr>
        <w:rFonts w:ascii="Symbol" w:hAnsi="Symbol"/>
      </w:rPr>
    </w:lvl>
    <w:lvl w:ilvl="1" w:tplc="2B828A9C">
      <w:start w:val="1"/>
      <w:numFmt w:val="bullet"/>
      <w:lvlText w:val=""/>
      <w:lvlJc w:val="left"/>
      <w:pPr>
        <w:ind w:left="720" w:hanging="360"/>
      </w:pPr>
      <w:rPr>
        <w:rFonts w:ascii="Symbol" w:hAnsi="Symbol"/>
      </w:rPr>
    </w:lvl>
    <w:lvl w:ilvl="2" w:tplc="19E00318">
      <w:start w:val="1"/>
      <w:numFmt w:val="bullet"/>
      <w:lvlText w:val=""/>
      <w:lvlJc w:val="left"/>
      <w:pPr>
        <w:ind w:left="720" w:hanging="360"/>
      </w:pPr>
      <w:rPr>
        <w:rFonts w:ascii="Symbol" w:hAnsi="Symbol"/>
      </w:rPr>
    </w:lvl>
    <w:lvl w:ilvl="3" w:tplc="307C8EA4">
      <w:start w:val="1"/>
      <w:numFmt w:val="bullet"/>
      <w:lvlText w:val=""/>
      <w:lvlJc w:val="left"/>
      <w:pPr>
        <w:ind w:left="720" w:hanging="360"/>
      </w:pPr>
      <w:rPr>
        <w:rFonts w:ascii="Symbol" w:hAnsi="Symbol"/>
      </w:rPr>
    </w:lvl>
    <w:lvl w:ilvl="4" w:tplc="9AEE27F2">
      <w:start w:val="1"/>
      <w:numFmt w:val="bullet"/>
      <w:lvlText w:val=""/>
      <w:lvlJc w:val="left"/>
      <w:pPr>
        <w:ind w:left="720" w:hanging="360"/>
      </w:pPr>
      <w:rPr>
        <w:rFonts w:ascii="Symbol" w:hAnsi="Symbol"/>
      </w:rPr>
    </w:lvl>
    <w:lvl w:ilvl="5" w:tplc="B2E692EE">
      <w:start w:val="1"/>
      <w:numFmt w:val="bullet"/>
      <w:lvlText w:val=""/>
      <w:lvlJc w:val="left"/>
      <w:pPr>
        <w:ind w:left="720" w:hanging="360"/>
      </w:pPr>
      <w:rPr>
        <w:rFonts w:ascii="Symbol" w:hAnsi="Symbol"/>
      </w:rPr>
    </w:lvl>
    <w:lvl w:ilvl="6" w:tplc="4586AD7E">
      <w:start w:val="1"/>
      <w:numFmt w:val="bullet"/>
      <w:lvlText w:val=""/>
      <w:lvlJc w:val="left"/>
      <w:pPr>
        <w:ind w:left="720" w:hanging="360"/>
      </w:pPr>
      <w:rPr>
        <w:rFonts w:ascii="Symbol" w:hAnsi="Symbol"/>
      </w:rPr>
    </w:lvl>
    <w:lvl w:ilvl="7" w:tplc="2B46780C">
      <w:start w:val="1"/>
      <w:numFmt w:val="bullet"/>
      <w:lvlText w:val=""/>
      <w:lvlJc w:val="left"/>
      <w:pPr>
        <w:ind w:left="720" w:hanging="360"/>
      </w:pPr>
      <w:rPr>
        <w:rFonts w:ascii="Symbol" w:hAnsi="Symbol"/>
      </w:rPr>
    </w:lvl>
    <w:lvl w:ilvl="8" w:tplc="09FED808">
      <w:start w:val="1"/>
      <w:numFmt w:val="bullet"/>
      <w:lvlText w:val=""/>
      <w:lvlJc w:val="left"/>
      <w:pPr>
        <w:ind w:left="720" w:hanging="360"/>
      </w:pPr>
      <w:rPr>
        <w:rFonts w:ascii="Symbol" w:hAnsi="Symbol"/>
      </w:rPr>
    </w:lvl>
  </w:abstractNum>
  <w:abstractNum w:abstractNumId="1" w15:restartNumberingAfterBreak="0">
    <w:nsid w:val="2B5E6A8D"/>
    <w:multiLevelType w:val="hybridMultilevel"/>
    <w:tmpl w:val="C9EACD36"/>
    <w:lvl w:ilvl="0" w:tplc="475E526A">
      <w:start w:val="1"/>
      <w:numFmt w:val="bullet"/>
      <w:lvlText w:val=""/>
      <w:lvlJc w:val="left"/>
      <w:pPr>
        <w:ind w:left="720" w:hanging="360"/>
      </w:pPr>
      <w:rPr>
        <w:rFonts w:ascii="Symbol" w:hAnsi="Symbol"/>
      </w:rPr>
    </w:lvl>
    <w:lvl w:ilvl="1" w:tplc="0E1CA836">
      <w:start w:val="1"/>
      <w:numFmt w:val="bullet"/>
      <w:lvlText w:val=""/>
      <w:lvlJc w:val="left"/>
      <w:pPr>
        <w:ind w:left="720" w:hanging="360"/>
      </w:pPr>
      <w:rPr>
        <w:rFonts w:ascii="Symbol" w:hAnsi="Symbol"/>
      </w:rPr>
    </w:lvl>
    <w:lvl w:ilvl="2" w:tplc="BB8EAA5E">
      <w:start w:val="1"/>
      <w:numFmt w:val="bullet"/>
      <w:lvlText w:val=""/>
      <w:lvlJc w:val="left"/>
      <w:pPr>
        <w:ind w:left="720" w:hanging="360"/>
      </w:pPr>
      <w:rPr>
        <w:rFonts w:ascii="Symbol" w:hAnsi="Symbol"/>
      </w:rPr>
    </w:lvl>
    <w:lvl w:ilvl="3" w:tplc="8B0270EE">
      <w:start w:val="1"/>
      <w:numFmt w:val="bullet"/>
      <w:lvlText w:val=""/>
      <w:lvlJc w:val="left"/>
      <w:pPr>
        <w:ind w:left="720" w:hanging="360"/>
      </w:pPr>
      <w:rPr>
        <w:rFonts w:ascii="Symbol" w:hAnsi="Symbol"/>
      </w:rPr>
    </w:lvl>
    <w:lvl w:ilvl="4" w:tplc="EC2E3A58">
      <w:start w:val="1"/>
      <w:numFmt w:val="bullet"/>
      <w:lvlText w:val=""/>
      <w:lvlJc w:val="left"/>
      <w:pPr>
        <w:ind w:left="720" w:hanging="360"/>
      </w:pPr>
      <w:rPr>
        <w:rFonts w:ascii="Symbol" w:hAnsi="Symbol"/>
      </w:rPr>
    </w:lvl>
    <w:lvl w:ilvl="5" w:tplc="BB54F890">
      <w:start w:val="1"/>
      <w:numFmt w:val="bullet"/>
      <w:lvlText w:val=""/>
      <w:lvlJc w:val="left"/>
      <w:pPr>
        <w:ind w:left="720" w:hanging="360"/>
      </w:pPr>
      <w:rPr>
        <w:rFonts w:ascii="Symbol" w:hAnsi="Symbol"/>
      </w:rPr>
    </w:lvl>
    <w:lvl w:ilvl="6" w:tplc="3A7E64B6">
      <w:start w:val="1"/>
      <w:numFmt w:val="bullet"/>
      <w:lvlText w:val=""/>
      <w:lvlJc w:val="left"/>
      <w:pPr>
        <w:ind w:left="720" w:hanging="360"/>
      </w:pPr>
      <w:rPr>
        <w:rFonts w:ascii="Symbol" w:hAnsi="Symbol"/>
      </w:rPr>
    </w:lvl>
    <w:lvl w:ilvl="7" w:tplc="29DAE31E">
      <w:start w:val="1"/>
      <w:numFmt w:val="bullet"/>
      <w:lvlText w:val=""/>
      <w:lvlJc w:val="left"/>
      <w:pPr>
        <w:ind w:left="720" w:hanging="360"/>
      </w:pPr>
      <w:rPr>
        <w:rFonts w:ascii="Symbol" w:hAnsi="Symbol"/>
      </w:rPr>
    </w:lvl>
    <w:lvl w:ilvl="8" w:tplc="9EB4D59A">
      <w:start w:val="1"/>
      <w:numFmt w:val="bullet"/>
      <w:lvlText w:val=""/>
      <w:lvlJc w:val="left"/>
      <w:pPr>
        <w:ind w:left="720" w:hanging="360"/>
      </w:pPr>
      <w:rPr>
        <w:rFonts w:ascii="Symbol" w:hAnsi="Symbol"/>
      </w:rPr>
    </w:lvl>
  </w:abstractNum>
  <w:abstractNum w:abstractNumId="2"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235A4A"/>
    <w:multiLevelType w:val="hybridMultilevel"/>
    <w:tmpl w:val="29EEFA6A"/>
    <w:lvl w:ilvl="0" w:tplc="78F60F5E">
      <w:start w:val="1"/>
      <w:numFmt w:val="bullet"/>
      <w:lvlText w:val=""/>
      <w:lvlJc w:val="left"/>
      <w:pPr>
        <w:ind w:left="720" w:hanging="360"/>
      </w:pPr>
      <w:rPr>
        <w:rFonts w:ascii="Symbol" w:hAnsi="Symbol"/>
      </w:rPr>
    </w:lvl>
    <w:lvl w:ilvl="1" w:tplc="02C0F2A0">
      <w:start w:val="1"/>
      <w:numFmt w:val="bullet"/>
      <w:lvlText w:val=""/>
      <w:lvlJc w:val="left"/>
      <w:pPr>
        <w:ind w:left="720" w:hanging="360"/>
      </w:pPr>
      <w:rPr>
        <w:rFonts w:ascii="Symbol" w:hAnsi="Symbol"/>
      </w:rPr>
    </w:lvl>
    <w:lvl w:ilvl="2" w:tplc="7BBE901C">
      <w:start w:val="1"/>
      <w:numFmt w:val="bullet"/>
      <w:lvlText w:val=""/>
      <w:lvlJc w:val="left"/>
      <w:pPr>
        <w:ind w:left="720" w:hanging="360"/>
      </w:pPr>
      <w:rPr>
        <w:rFonts w:ascii="Symbol" w:hAnsi="Symbol"/>
      </w:rPr>
    </w:lvl>
    <w:lvl w:ilvl="3" w:tplc="07AC93C2">
      <w:start w:val="1"/>
      <w:numFmt w:val="bullet"/>
      <w:lvlText w:val=""/>
      <w:lvlJc w:val="left"/>
      <w:pPr>
        <w:ind w:left="720" w:hanging="360"/>
      </w:pPr>
      <w:rPr>
        <w:rFonts w:ascii="Symbol" w:hAnsi="Symbol"/>
      </w:rPr>
    </w:lvl>
    <w:lvl w:ilvl="4" w:tplc="F66C5682">
      <w:start w:val="1"/>
      <w:numFmt w:val="bullet"/>
      <w:lvlText w:val=""/>
      <w:lvlJc w:val="left"/>
      <w:pPr>
        <w:ind w:left="720" w:hanging="360"/>
      </w:pPr>
      <w:rPr>
        <w:rFonts w:ascii="Symbol" w:hAnsi="Symbol"/>
      </w:rPr>
    </w:lvl>
    <w:lvl w:ilvl="5" w:tplc="1D7A5612">
      <w:start w:val="1"/>
      <w:numFmt w:val="bullet"/>
      <w:lvlText w:val=""/>
      <w:lvlJc w:val="left"/>
      <w:pPr>
        <w:ind w:left="720" w:hanging="360"/>
      </w:pPr>
      <w:rPr>
        <w:rFonts w:ascii="Symbol" w:hAnsi="Symbol"/>
      </w:rPr>
    </w:lvl>
    <w:lvl w:ilvl="6" w:tplc="57AE20E8">
      <w:start w:val="1"/>
      <w:numFmt w:val="bullet"/>
      <w:lvlText w:val=""/>
      <w:lvlJc w:val="left"/>
      <w:pPr>
        <w:ind w:left="720" w:hanging="360"/>
      </w:pPr>
      <w:rPr>
        <w:rFonts w:ascii="Symbol" w:hAnsi="Symbol"/>
      </w:rPr>
    </w:lvl>
    <w:lvl w:ilvl="7" w:tplc="A7F8608A">
      <w:start w:val="1"/>
      <w:numFmt w:val="bullet"/>
      <w:lvlText w:val=""/>
      <w:lvlJc w:val="left"/>
      <w:pPr>
        <w:ind w:left="720" w:hanging="360"/>
      </w:pPr>
      <w:rPr>
        <w:rFonts w:ascii="Symbol" w:hAnsi="Symbol"/>
      </w:rPr>
    </w:lvl>
    <w:lvl w:ilvl="8" w:tplc="0C208B94">
      <w:start w:val="1"/>
      <w:numFmt w:val="bullet"/>
      <w:lvlText w:val=""/>
      <w:lvlJc w:val="left"/>
      <w:pPr>
        <w:ind w:left="720" w:hanging="360"/>
      </w:pPr>
      <w:rPr>
        <w:rFonts w:ascii="Symbol" w:hAnsi="Symbol"/>
      </w:rPr>
    </w:lvl>
  </w:abstractNum>
  <w:abstractNum w:abstractNumId="4" w15:restartNumberingAfterBreak="0">
    <w:nsid w:val="363F58D4"/>
    <w:multiLevelType w:val="hybridMultilevel"/>
    <w:tmpl w:val="A4A84100"/>
    <w:lvl w:ilvl="0" w:tplc="0D5CE026">
      <w:start w:val="1"/>
      <w:numFmt w:val="bullet"/>
      <w:pStyle w:val="ListBullet1"/>
      <w:lvlText w:val=""/>
      <w:lvlJc w:val="left"/>
      <w:pPr>
        <w:tabs>
          <w:tab w:val="num" w:pos="-651"/>
        </w:tabs>
        <w:ind w:left="-651" w:hanging="284"/>
      </w:pPr>
      <w:rPr>
        <w:rFonts w:ascii="Symbol" w:hAnsi="Symbol" w:hint="default"/>
      </w:rPr>
    </w:lvl>
    <w:lvl w:ilvl="1" w:tplc="08090003" w:tentative="1">
      <w:start w:val="1"/>
      <w:numFmt w:val="bullet"/>
      <w:lvlText w:val="o"/>
      <w:lvlJc w:val="left"/>
      <w:pPr>
        <w:ind w:left="80" w:hanging="360"/>
      </w:pPr>
      <w:rPr>
        <w:rFonts w:ascii="Courier New" w:hAnsi="Courier New" w:cs="Courier New" w:hint="default"/>
      </w:rPr>
    </w:lvl>
    <w:lvl w:ilvl="2" w:tplc="08090005" w:tentative="1">
      <w:start w:val="1"/>
      <w:numFmt w:val="bullet"/>
      <w:lvlText w:val=""/>
      <w:lvlJc w:val="left"/>
      <w:pPr>
        <w:ind w:left="800" w:hanging="360"/>
      </w:pPr>
      <w:rPr>
        <w:rFonts w:ascii="Wingdings" w:hAnsi="Wingdings" w:hint="default"/>
      </w:rPr>
    </w:lvl>
    <w:lvl w:ilvl="3" w:tplc="08090001" w:tentative="1">
      <w:start w:val="1"/>
      <w:numFmt w:val="bullet"/>
      <w:lvlText w:val=""/>
      <w:lvlJc w:val="left"/>
      <w:pPr>
        <w:ind w:left="1520" w:hanging="360"/>
      </w:pPr>
      <w:rPr>
        <w:rFonts w:ascii="Symbol" w:hAnsi="Symbol" w:hint="default"/>
      </w:rPr>
    </w:lvl>
    <w:lvl w:ilvl="4" w:tplc="08090003" w:tentative="1">
      <w:start w:val="1"/>
      <w:numFmt w:val="bullet"/>
      <w:lvlText w:val="o"/>
      <w:lvlJc w:val="left"/>
      <w:pPr>
        <w:ind w:left="2240" w:hanging="360"/>
      </w:pPr>
      <w:rPr>
        <w:rFonts w:ascii="Courier New" w:hAnsi="Courier New" w:cs="Courier New" w:hint="default"/>
      </w:rPr>
    </w:lvl>
    <w:lvl w:ilvl="5" w:tplc="08090005" w:tentative="1">
      <w:start w:val="1"/>
      <w:numFmt w:val="bullet"/>
      <w:lvlText w:val=""/>
      <w:lvlJc w:val="left"/>
      <w:pPr>
        <w:ind w:left="2960" w:hanging="360"/>
      </w:pPr>
      <w:rPr>
        <w:rFonts w:ascii="Wingdings" w:hAnsi="Wingdings" w:hint="default"/>
      </w:rPr>
    </w:lvl>
    <w:lvl w:ilvl="6" w:tplc="08090001" w:tentative="1">
      <w:start w:val="1"/>
      <w:numFmt w:val="bullet"/>
      <w:lvlText w:val=""/>
      <w:lvlJc w:val="left"/>
      <w:pPr>
        <w:ind w:left="3680" w:hanging="360"/>
      </w:pPr>
      <w:rPr>
        <w:rFonts w:ascii="Symbol" w:hAnsi="Symbol" w:hint="default"/>
      </w:rPr>
    </w:lvl>
    <w:lvl w:ilvl="7" w:tplc="08090003" w:tentative="1">
      <w:start w:val="1"/>
      <w:numFmt w:val="bullet"/>
      <w:lvlText w:val="o"/>
      <w:lvlJc w:val="left"/>
      <w:pPr>
        <w:ind w:left="4400" w:hanging="360"/>
      </w:pPr>
      <w:rPr>
        <w:rFonts w:ascii="Courier New" w:hAnsi="Courier New" w:cs="Courier New" w:hint="default"/>
      </w:rPr>
    </w:lvl>
    <w:lvl w:ilvl="8" w:tplc="08090005" w:tentative="1">
      <w:start w:val="1"/>
      <w:numFmt w:val="bullet"/>
      <w:lvlText w:val=""/>
      <w:lvlJc w:val="left"/>
      <w:pPr>
        <w:ind w:left="5120" w:hanging="360"/>
      </w:pPr>
      <w:rPr>
        <w:rFonts w:ascii="Wingdings" w:hAnsi="Wingdings" w:hint="default"/>
      </w:rPr>
    </w:lvl>
  </w:abstractNum>
  <w:abstractNum w:abstractNumId="5" w15:restartNumberingAfterBreak="0">
    <w:nsid w:val="3F316954"/>
    <w:multiLevelType w:val="hybridMultilevel"/>
    <w:tmpl w:val="DE4C9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6"/>
  </w:num>
  <w:num w:numId="2" w16cid:durableId="264533111">
    <w:abstractNumId w:val="2"/>
  </w:num>
  <w:num w:numId="3" w16cid:durableId="902835894">
    <w:abstractNumId w:val="7"/>
  </w:num>
  <w:num w:numId="4" w16cid:durableId="89473768">
    <w:abstractNumId w:val="5"/>
  </w:num>
  <w:num w:numId="5" w16cid:durableId="891113522">
    <w:abstractNumId w:val="4"/>
  </w:num>
  <w:num w:numId="6" w16cid:durableId="402605024">
    <w:abstractNumId w:val="1"/>
  </w:num>
  <w:num w:numId="7" w16cid:durableId="917207641">
    <w:abstractNumId w:val="0"/>
  </w:num>
  <w:num w:numId="8" w16cid:durableId="7032088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6677"/>
    <w:rsid w:val="00011325"/>
    <w:rsid w:val="00042305"/>
    <w:rsid w:val="0004578C"/>
    <w:rsid w:val="000B1C30"/>
    <w:rsid w:val="000C2815"/>
    <w:rsid w:val="00103EE7"/>
    <w:rsid w:val="001210D2"/>
    <w:rsid w:val="001215B8"/>
    <w:rsid w:val="00163FC7"/>
    <w:rsid w:val="00193E62"/>
    <w:rsid w:val="00195321"/>
    <w:rsid w:val="001B1D75"/>
    <w:rsid w:val="001B3835"/>
    <w:rsid w:val="00211CC8"/>
    <w:rsid w:val="0024518F"/>
    <w:rsid w:val="00285532"/>
    <w:rsid w:val="002C48DA"/>
    <w:rsid w:val="00345967"/>
    <w:rsid w:val="0035408C"/>
    <w:rsid w:val="00385E7B"/>
    <w:rsid w:val="003B1F4D"/>
    <w:rsid w:val="003D606A"/>
    <w:rsid w:val="004B08F6"/>
    <w:rsid w:val="004B4346"/>
    <w:rsid w:val="004D40A7"/>
    <w:rsid w:val="004F1F1F"/>
    <w:rsid w:val="0051751D"/>
    <w:rsid w:val="005208E7"/>
    <w:rsid w:val="0067177D"/>
    <w:rsid w:val="006D1BB9"/>
    <w:rsid w:val="00705757"/>
    <w:rsid w:val="0073678F"/>
    <w:rsid w:val="0075595C"/>
    <w:rsid w:val="007611CF"/>
    <w:rsid w:val="0077682E"/>
    <w:rsid w:val="008A444C"/>
    <w:rsid w:val="008C53E2"/>
    <w:rsid w:val="008F4C9B"/>
    <w:rsid w:val="00914F63"/>
    <w:rsid w:val="009172C9"/>
    <w:rsid w:val="009249FD"/>
    <w:rsid w:val="009C3C04"/>
    <w:rsid w:val="00A21B17"/>
    <w:rsid w:val="00A33443"/>
    <w:rsid w:val="00AC0FD9"/>
    <w:rsid w:val="00AD5596"/>
    <w:rsid w:val="00AF3942"/>
    <w:rsid w:val="00B22E8F"/>
    <w:rsid w:val="00B25878"/>
    <w:rsid w:val="00B32FF6"/>
    <w:rsid w:val="00B86005"/>
    <w:rsid w:val="00BB50B2"/>
    <w:rsid w:val="00C11B47"/>
    <w:rsid w:val="00C60BC5"/>
    <w:rsid w:val="00C82EB8"/>
    <w:rsid w:val="00CC3595"/>
    <w:rsid w:val="00CC726F"/>
    <w:rsid w:val="00CD4042"/>
    <w:rsid w:val="00CD5585"/>
    <w:rsid w:val="00CE02B0"/>
    <w:rsid w:val="00D0761D"/>
    <w:rsid w:val="00D269AE"/>
    <w:rsid w:val="00D710B3"/>
    <w:rsid w:val="00D82FE2"/>
    <w:rsid w:val="00DB6830"/>
    <w:rsid w:val="00E22E27"/>
    <w:rsid w:val="00EA1141"/>
    <w:rsid w:val="00ED483F"/>
    <w:rsid w:val="00EE1248"/>
    <w:rsid w:val="00EE2F15"/>
    <w:rsid w:val="00EF25A5"/>
    <w:rsid w:val="00F0383D"/>
    <w:rsid w:val="00F8655C"/>
    <w:rsid w:val="00F909FF"/>
    <w:rsid w:val="00F92917"/>
    <w:rsid w:val="00F93BA2"/>
    <w:rsid w:val="00FC105A"/>
    <w:rsid w:val="00FE1761"/>
    <w:rsid w:val="00FE3A58"/>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rsid w:val="00F92917"/>
    <w:pPr>
      <w:keepNext/>
      <w:spacing w:before="1200" w:after="720" w:line="240" w:lineRule="auto"/>
      <w:ind w:left="340" w:right="340"/>
      <w:jc w:val="center"/>
      <w:outlineLvl w:val="0"/>
    </w:pPr>
    <w:rPr>
      <w:rFonts w:ascii="Caecilia LT Std Roman" w:eastAsia="Times New Roman" w:hAnsi="Caecilia LT Std Roman" w:cs="Times New Roman"/>
      <w:b/>
      <w:bCs/>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character" w:customStyle="1" w:styleId="Heading1Char">
    <w:name w:val="Heading 1 Char"/>
    <w:basedOn w:val="DefaultParagraphFont"/>
    <w:link w:val="Heading1"/>
    <w:uiPriority w:val="99"/>
    <w:rsid w:val="00F92917"/>
    <w:rPr>
      <w:rFonts w:ascii="Caecilia LT Std Roman" w:eastAsia="Times New Roman" w:hAnsi="Caecilia LT Std Roman" w:cs="Times New Roman"/>
      <w:b/>
      <w:bCs/>
      <w:kern w:val="28"/>
      <w:sz w:val="24"/>
      <w:szCs w:val="24"/>
    </w:rPr>
  </w:style>
  <w:style w:type="paragraph" w:customStyle="1" w:styleId="Abstract">
    <w:name w:val="Abstract"/>
    <w:qFormat/>
    <w:rsid w:val="00F92917"/>
    <w:pPr>
      <w:spacing w:after="120" w:line="240" w:lineRule="auto"/>
      <w:ind w:left="680" w:right="680"/>
      <w:jc w:val="both"/>
    </w:pPr>
    <w:rPr>
      <w:rFonts w:ascii="Caecilia LT Std Roman" w:eastAsia="PMingLiU" w:hAnsi="Caecilia LT Std Roman" w:cs="Arial"/>
      <w:i/>
      <w:sz w:val="19"/>
      <w:szCs w:val="18"/>
      <w:lang w:eastAsia="zh-TW"/>
    </w:rPr>
  </w:style>
  <w:style w:type="paragraph" w:styleId="BodyText">
    <w:name w:val="Body Text"/>
    <w:basedOn w:val="Normal"/>
    <w:link w:val="BodyTextChar"/>
    <w:uiPriority w:val="1"/>
    <w:qFormat/>
    <w:rsid w:val="00F92917"/>
    <w:pPr>
      <w:spacing w:before="160" w:after="160" w:line="240" w:lineRule="exact"/>
    </w:pPr>
    <w:rPr>
      <w:rFonts w:ascii="Calibri" w:hAnsi="Calibri" w:cs="Calibri"/>
      <w:lang w:val="fr-FR"/>
    </w:rPr>
  </w:style>
  <w:style w:type="character" w:customStyle="1" w:styleId="BodyTextChar">
    <w:name w:val="Body Text Char"/>
    <w:basedOn w:val="DefaultParagraphFont"/>
    <w:link w:val="BodyText"/>
    <w:uiPriority w:val="1"/>
    <w:rsid w:val="00F92917"/>
    <w:rPr>
      <w:rFonts w:ascii="Calibri" w:hAnsi="Calibri" w:cs="Calibri"/>
      <w:lang w:val="fr-FR"/>
    </w:rPr>
  </w:style>
  <w:style w:type="paragraph" w:customStyle="1" w:styleId="ListBullet1">
    <w:name w:val="List Bullet 1"/>
    <w:qFormat/>
    <w:rsid w:val="00BB50B2"/>
    <w:pPr>
      <w:numPr>
        <w:numId w:val="5"/>
      </w:numPr>
      <w:spacing w:after="120" w:line="240" w:lineRule="auto"/>
      <w:ind w:left="964" w:right="340"/>
      <w:jc w:val="both"/>
    </w:pPr>
    <w:rPr>
      <w:rFonts w:ascii="Caecilia LT Std Roman" w:eastAsia="PMingLiU" w:hAnsi="Caecilia LT Std Roman" w:cs="Times New Roman"/>
      <w:sz w:val="19"/>
      <w:szCs w:val="18"/>
      <w:lang w:eastAsia="zh-TW"/>
    </w:rPr>
  </w:style>
  <w:style w:type="paragraph" w:customStyle="1" w:styleId="BodyText2">
    <w:name w:val="Body Text2"/>
    <w:basedOn w:val="Normal"/>
    <w:qFormat/>
    <w:rsid w:val="00BB50B2"/>
    <w:pPr>
      <w:spacing w:after="120" w:line="240" w:lineRule="auto"/>
      <w:ind w:left="340" w:right="340" w:firstLine="369"/>
      <w:jc w:val="both"/>
    </w:pPr>
    <w:rPr>
      <w:rFonts w:ascii="Caecilia LT Std Roman" w:eastAsia="PMingLiU" w:hAnsi="Caecilia LT Std Roman" w:cs="Arial"/>
      <w:sz w:val="19"/>
      <w:szCs w:val="18"/>
      <w:lang w:eastAsia="zh-TW"/>
    </w:rPr>
  </w:style>
  <w:style w:type="character" w:styleId="CommentReference">
    <w:name w:val="annotation reference"/>
    <w:basedOn w:val="DefaultParagraphFont"/>
    <w:uiPriority w:val="99"/>
    <w:semiHidden/>
    <w:unhideWhenUsed/>
    <w:rsid w:val="00163FC7"/>
    <w:rPr>
      <w:sz w:val="16"/>
      <w:szCs w:val="16"/>
    </w:rPr>
  </w:style>
  <w:style w:type="paragraph" w:styleId="CommentText">
    <w:name w:val="annotation text"/>
    <w:basedOn w:val="Normal"/>
    <w:link w:val="CommentTextChar"/>
    <w:uiPriority w:val="99"/>
    <w:unhideWhenUsed/>
    <w:rsid w:val="00163FC7"/>
    <w:pPr>
      <w:spacing w:line="240" w:lineRule="auto"/>
    </w:pPr>
    <w:rPr>
      <w:sz w:val="20"/>
      <w:szCs w:val="20"/>
    </w:rPr>
  </w:style>
  <w:style w:type="character" w:customStyle="1" w:styleId="CommentTextChar">
    <w:name w:val="Comment Text Char"/>
    <w:basedOn w:val="DefaultParagraphFont"/>
    <w:link w:val="CommentText"/>
    <w:uiPriority w:val="99"/>
    <w:rsid w:val="00163FC7"/>
    <w:rPr>
      <w:sz w:val="20"/>
      <w:szCs w:val="20"/>
    </w:rPr>
  </w:style>
  <w:style w:type="paragraph" w:styleId="CommentSubject">
    <w:name w:val="annotation subject"/>
    <w:basedOn w:val="CommentText"/>
    <w:next w:val="CommentText"/>
    <w:link w:val="CommentSubjectChar"/>
    <w:uiPriority w:val="99"/>
    <w:semiHidden/>
    <w:unhideWhenUsed/>
    <w:rsid w:val="00163FC7"/>
    <w:rPr>
      <w:b/>
      <w:bCs/>
    </w:rPr>
  </w:style>
  <w:style w:type="character" w:customStyle="1" w:styleId="CommentSubjectChar">
    <w:name w:val="Comment Subject Char"/>
    <w:basedOn w:val="CommentTextChar"/>
    <w:link w:val="CommentSubject"/>
    <w:uiPriority w:val="99"/>
    <w:semiHidden/>
    <w:rsid w:val="00163FC7"/>
    <w:rPr>
      <w:b/>
      <w:bCs/>
      <w:sz w:val="20"/>
      <w:szCs w:val="20"/>
    </w:rPr>
  </w:style>
  <w:style w:type="character" w:styleId="Hyperlink">
    <w:name w:val="Hyperlink"/>
    <w:basedOn w:val="DefaultParagraphFont"/>
    <w:uiPriority w:val="99"/>
    <w:unhideWhenUsed/>
    <w:rsid w:val="000B1C30"/>
    <w:rPr>
      <w:color w:val="0000FF" w:themeColor="hyperlink"/>
      <w:u w:val="single"/>
    </w:rPr>
  </w:style>
  <w:style w:type="character" w:styleId="UnresolvedMention">
    <w:name w:val="Unresolved Mention"/>
    <w:basedOn w:val="DefaultParagraphFont"/>
    <w:uiPriority w:val="99"/>
    <w:semiHidden/>
    <w:unhideWhenUsed/>
    <w:rsid w:val="000B1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2740">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se.griffault@andra.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233;mi.coutecuisse@andra.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olas.bruyer@andra.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ylvie.voinis@andra.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3D022-B2A2-473F-8844-297BE6A56D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3.xml><?xml version="1.0" encoding="utf-8"?>
<ds:datastoreItem xmlns:ds="http://schemas.openxmlformats.org/officeDocument/2006/customXml" ds:itemID="{E6B2DC4A-0098-4B63-9469-FB5190AE8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638200-4CB1-4BEA-B988-5887BB723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542</Words>
  <Characters>3041</Characters>
  <Application>Microsoft Office Word</Application>
  <DocSecurity>0</DocSecurity>
  <Lines>63</Lines>
  <Paragraphs>35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Microsoft</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7</cp:revision>
  <dcterms:created xsi:type="dcterms:W3CDTF">2024-05-14T17:24:00Z</dcterms:created>
  <dcterms:modified xsi:type="dcterms:W3CDTF">2024-05-20T13:09:00Z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c18080da92e8176950845d6f30637b738271c7b136674c881fb79b61ddd6fd18</vt:lpwstr>
  </property>
</Properties>
</file>