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3548F96F"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2A489F">
              <w:rPr>
                <w:rFonts w:cstheme="minorHAnsi"/>
                <w:b/>
                <w:color w:val="000000" w:themeColor="text1"/>
                <w:lang w:eastAsia="ja-JP"/>
              </w:rPr>
              <w:t>50</w:t>
            </w:r>
          </w:p>
        </w:tc>
        <w:tc>
          <w:tcPr>
            <w:tcW w:w="3376" w:type="dxa"/>
          </w:tcPr>
          <w:p w14:paraId="65329394" w14:textId="1586BE3A" w:rsidR="00BF0819" w:rsidRPr="00BF0819" w:rsidRDefault="00844640" w:rsidP="00BF0819">
            <w:pPr>
              <w:spacing w:after="200" w:line="276" w:lineRule="auto"/>
            </w:pPr>
            <w:r>
              <w:rPr>
                <w:rFonts w:cstheme="minorHAnsi"/>
                <w:b/>
                <w:color w:val="000000" w:themeColor="text1"/>
                <w:lang w:eastAsia="ja-JP"/>
              </w:rPr>
              <w:t>Session 3.1</w:t>
            </w:r>
          </w:p>
        </w:tc>
      </w:tr>
      <w:tr w:rsidR="00D66730" w:rsidRPr="00D66730" w14:paraId="0837F891" w14:textId="77777777" w:rsidTr="00D66730">
        <w:trPr>
          <w:trHeight w:val="516"/>
        </w:trPr>
        <w:tc>
          <w:tcPr>
            <w:tcW w:w="9083" w:type="dxa"/>
            <w:gridSpan w:val="2"/>
          </w:tcPr>
          <w:p w14:paraId="22D919D6" w14:textId="77777777"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p>
          <w:p w14:paraId="7DC0E2AE" w14:textId="32698529" w:rsidR="00AF3942" w:rsidRDefault="00BF0819" w:rsidP="00BF0819">
            <w:pPr>
              <w:spacing w:after="200" w:line="276" w:lineRule="auto"/>
            </w:pPr>
            <w:r>
              <w:t xml:space="preserve">R. Thomas Peake (US </w:t>
            </w:r>
            <w:r w:rsidR="00033A37">
              <w:t>Environmental Protection Agency</w:t>
            </w:r>
            <w:r>
              <w:t xml:space="preserve">), Anderson Ward (US </w:t>
            </w:r>
            <w:r w:rsidR="00033A37">
              <w:t>Department of Energy</w:t>
            </w:r>
            <w:r>
              <w:t>) and Jay Santillan (US E</w:t>
            </w:r>
            <w:r w:rsidR="00033A37">
              <w:t>nvironmental Protection Agency)</w:t>
            </w:r>
          </w:p>
          <w:p w14:paraId="021B0F66" w14:textId="1A3ACBCB" w:rsidR="00AF3942" w:rsidRDefault="00033A37" w:rsidP="002B0699">
            <w:pPr>
              <w:spacing w:before="60" w:after="60"/>
              <w:rPr>
                <w:rFonts w:cstheme="minorHAnsi"/>
                <w:bCs/>
                <w:color w:val="000000" w:themeColor="text1"/>
                <w:lang w:eastAsia="ja-JP"/>
              </w:rPr>
            </w:pPr>
            <w:r>
              <w:rPr>
                <w:rFonts w:cstheme="minorHAnsi"/>
                <w:bCs/>
                <w:color w:val="000000" w:themeColor="text1"/>
                <w:lang w:eastAsia="ja-JP"/>
              </w:rPr>
              <w:t xml:space="preserve">R. Thomas Peake: </w:t>
            </w:r>
            <w:hyperlink r:id="rId11" w:history="1">
              <w:r w:rsidRPr="00CF1831">
                <w:rPr>
                  <w:rStyle w:val="Hyperlink"/>
                  <w:rFonts w:cstheme="minorHAnsi"/>
                  <w:bCs/>
                  <w:lang w:eastAsia="ja-JP"/>
                </w:rPr>
                <w:t>peake.tom@epa.gov</w:t>
              </w:r>
            </w:hyperlink>
          </w:p>
          <w:p w14:paraId="7AE3C069" w14:textId="0E78CAD8" w:rsidR="00033A37" w:rsidRDefault="00033A37" w:rsidP="002B0699">
            <w:pPr>
              <w:spacing w:before="60" w:after="60"/>
              <w:rPr>
                <w:rFonts w:cstheme="minorHAnsi"/>
                <w:bCs/>
                <w:color w:val="000000" w:themeColor="text1"/>
                <w:lang w:eastAsia="ja-JP"/>
              </w:rPr>
            </w:pPr>
            <w:r>
              <w:rPr>
                <w:rFonts w:cstheme="minorHAnsi"/>
                <w:bCs/>
                <w:color w:val="000000" w:themeColor="text1"/>
                <w:lang w:eastAsia="ja-JP"/>
              </w:rPr>
              <w:t xml:space="preserve">Anderson Ward: </w:t>
            </w:r>
            <w:hyperlink r:id="rId12" w:history="1">
              <w:r w:rsidRPr="00CF1831">
                <w:rPr>
                  <w:rStyle w:val="Hyperlink"/>
                  <w:rFonts w:cstheme="minorHAnsi"/>
                  <w:bCs/>
                  <w:lang w:eastAsia="ja-JP"/>
                </w:rPr>
                <w:t>Anderson.Ward@cbfo.doe.gov</w:t>
              </w:r>
            </w:hyperlink>
          </w:p>
          <w:p w14:paraId="546242E0" w14:textId="6471ADE0" w:rsidR="00033A37" w:rsidRDefault="00033A37" w:rsidP="002B0699">
            <w:pPr>
              <w:spacing w:before="60" w:after="60"/>
              <w:rPr>
                <w:rFonts w:cstheme="minorHAnsi"/>
                <w:bCs/>
                <w:color w:val="000000" w:themeColor="text1"/>
                <w:lang w:eastAsia="ja-JP"/>
              </w:rPr>
            </w:pPr>
            <w:r>
              <w:rPr>
                <w:rFonts w:cstheme="minorHAnsi"/>
                <w:bCs/>
                <w:color w:val="000000" w:themeColor="text1"/>
                <w:lang w:eastAsia="ja-JP"/>
              </w:rPr>
              <w:t xml:space="preserve">Jay Santillan: </w:t>
            </w:r>
            <w:hyperlink r:id="rId13" w:history="1">
              <w:r w:rsidRPr="00CF1831">
                <w:rPr>
                  <w:rStyle w:val="Hyperlink"/>
                  <w:rFonts w:cstheme="minorHAnsi"/>
                  <w:bCs/>
                  <w:lang w:eastAsia="ja-JP"/>
                </w:rPr>
                <w:t>Santillan.Jay@epa.gov</w:t>
              </w:r>
            </w:hyperlink>
          </w:p>
          <w:p w14:paraId="6BC53966" w14:textId="05C201F6" w:rsidR="00033A37" w:rsidRPr="00033A37" w:rsidRDefault="00033A37" w:rsidP="002B0699">
            <w:pPr>
              <w:spacing w:before="60" w:after="60"/>
              <w:rPr>
                <w:rFonts w:cstheme="minorHAnsi"/>
                <w:bCs/>
                <w:color w:val="000000" w:themeColor="text1"/>
                <w:lang w:eastAsia="ja-JP"/>
              </w:rPr>
            </w:pPr>
          </w:p>
        </w:tc>
      </w:tr>
      <w:tr w:rsidR="00D66730" w:rsidRPr="00D66730" w14:paraId="330BCA96" w14:textId="77777777" w:rsidTr="00D66730">
        <w:trPr>
          <w:trHeight w:val="1067"/>
        </w:trPr>
        <w:tc>
          <w:tcPr>
            <w:tcW w:w="9083" w:type="dxa"/>
            <w:gridSpan w:val="2"/>
          </w:tcPr>
          <w:p w14:paraId="6647858D" w14:textId="55AF1342"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844640">
              <w:rPr>
                <w:rFonts w:cstheme="minorHAnsi"/>
                <w:b/>
                <w:color w:val="000000" w:themeColor="text1"/>
                <w:lang w:eastAsia="ja-JP"/>
              </w:rPr>
              <w:t xml:space="preserve"> </w:t>
            </w:r>
          </w:p>
          <w:p w14:paraId="6BD422AA" w14:textId="2BEF8CAC" w:rsidR="00BF0819" w:rsidRPr="00844640" w:rsidRDefault="00F527E6" w:rsidP="00BF0819">
            <w:pPr>
              <w:rPr>
                <w:b/>
                <w:bCs/>
              </w:rPr>
            </w:pPr>
            <w:r w:rsidRPr="00844640">
              <w:rPr>
                <w:b/>
                <w:bCs/>
              </w:rPr>
              <w:t>Changes in</w:t>
            </w:r>
            <w:r w:rsidR="00BF0819" w:rsidRPr="00844640">
              <w:rPr>
                <w:b/>
                <w:bCs/>
              </w:rPr>
              <w:t xml:space="preserve"> the Performance Assessment at WIPP over Time</w:t>
            </w:r>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00D66730">
        <w:trPr>
          <w:trHeight w:val="3307"/>
        </w:trPr>
        <w:tc>
          <w:tcPr>
            <w:tcW w:w="9083" w:type="dxa"/>
            <w:gridSpan w:val="2"/>
            <w:tcBorders>
              <w:bottom w:val="single" w:sz="4" w:space="0" w:color="auto"/>
            </w:tcBorders>
          </w:tcPr>
          <w:p w14:paraId="5D4B9EA3" w14:textId="77777777" w:rsidR="00285532" w:rsidRDefault="00AF3942" w:rsidP="00844640">
            <w:pPr>
              <w:spacing w:before="60" w:after="60"/>
              <w:jc w:val="both"/>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5580F6FF" w14:textId="69BDB863" w:rsidR="00BF0819" w:rsidRDefault="00BF0819" w:rsidP="00844640">
            <w:pPr>
              <w:jc w:val="both"/>
              <w:rPr>
                <w:sz w:val="24"/>
                <w:szCs w:val="24"/>
              </w:rPr>
            </w:pPr>
            <w:r w:rsidRPr="00612EF7">
              <w:rPr>
                <w:sz w:val="24"/>
                <w:szCs w:val="24"/>
              </w:rPr>
              <w:t xml:space="preserve">The Waste Isolation Pilot Plant (WIPP) in southeast New Mexico, United States, has been accepting </w:t>
            </w:r>
            <w:proofErr w:type="spellStart"/>
            <w:r w:rsidRPr="00612EF7">
              <w:rPr>
                <w:sz w:val="24"/>
                <w:szCs w:val="24"/>
              </w:rPr>
              <w:t>defense</w:t>
            </w:r>
            <w:proofErr w:type="spellEnd"/>
            <w:r w:rsidRPr="00612EF7">
              <w:rPr>
                <w:sz w:val="24"/>
                <w:szCs w:val="24"/>
              </w:rPr>
              <w:t xml:space="preserve"> transuranic waste </w:t>
            </w:r>
            <w:r>
              <w:rPr>
                <w:sz w:val="24"/>
                <w:szCs w:val="24"/>
              </w:rPr>
              <w:t>for permanent disposal since 1999</w:t>
            </w:r>
            <w:r w:rsidRPr="00612EF7">
              <w:rPr>
                <w:sz w:val="24"/>
                <w:szCs w:val="24"/>
              </w:rPr>
              <w:t xml:space="preserve">. Prior to </w:t>
            </w:r>
            <w:r w:rsidR="00FC5A31">
              <w:rPr>
                <w:sz w:val="24"/>
                <w:szCs w:val="24"/>
              </w:rPr>
              <w:t xml:space="preserve">the first compliance </w:t>
            </w:r>
            <w:r w:rsidRPr="00612EF7">
              <w:rPr>
                <w:sz w:val="24"/>
                <w:szCs w:val="24"/>
              </w:rPr>
              <w:t>certification</w:t>
            </w:r>
            <w:r w:rsidR="00FC5A31">
              <w:rPr>
                <w:sz w:val="24"/>
                <w:szCs w:val="24"/>
              </w:rPr>
              <w:t xml:space="preserve"> application (CCA) for </w:t>
            </w:r>
            <w:r w:rsidRPr="00612EF7">
              <w:rPr>
                <w:sz w:val="24"/>
                <w:szCs w:val="24"/>
              </w:rPr>
              <w:t xml:space="preserve">licensing by the US Environmental Protection Agency (EPA), the US Department of Energy </w:t>
            </w:r>
            <w:r>
              <w:rPr>
                <w:sz w:val="24"/>
                <w:szCs w:val="24"/>
              </w:rPr>
              <w:t xml:space="preserve">(DOE) </w:t>
            </w:r>
            <w:r w:rsidRPr="00612EF7">
              <w:rPr>
                <w:sz w:val="24"/>
                <w:szCs w:val="24"/>
              </w:rPr>
              <w:t xml:space="preserve">used </w:t>
            </w:r>
            <w:r w:rsidR="004E7F3F">
              <w:rPr>
                <w:sz w:val="24"/>
                <w:szCs w:val="24"/>
              </w:rPr>
              <w:t>a</w:t>
            </w:r>
            <w:r w:rsidR="004E7F3F" w:rsidRPr="00612EF7">
              <w:rPr>
                <w:sz w:val="24"/>
                <w:szCs w:val="24"/>
              </w:rPr>
              <w:t xml:space="preserve"> </w:t>
            </w:r>
            <w:r w:rsidRPr="00612EF7">
              <w:rPr>
                <w:sz w:val="24"/>
                <w:szCs w:val="24"/>
              </w:rPr>
              <w:t xml:space="preserve">performance assessment (PA) to demonstrate compliance with EPA’s long-term radioactive waste disposal standards. </w:t>
            </w:r>
            <w:r>
              <w:rPr>
                <w:sz w:val="24"/>
                <w:szCs w:val="24"/>
              </w:rPr>
              <w:t>As required by regulation, the DOE WIPP PA calculates potential releases that could occur</w:t>
            </w:r>
            <w:r w:rsidR="00F527E6">
              <w:rPr>
                <w:sz w:val="24"/>
                <w:szCs w:val="24"/>
              </w:rPr>
              <w:t>, including</w:t>
            </w:r>
            <w:r>
              <w:rPr>
                <w:sz w:val="24"/>
                <w:szCs w:val="24"/>
              </w:rPr>
              <w:t xml:space="preserve"> after a future inadvertent intrusion via oil or gas drilling. Such drilling could lead to the release of actinide-contaminated pressurized brine. </w:t>
            </w:r>
            <w:r w:rsidR="004E7F3F">
              <w:rPr>
                <w:sz w:val="24"/>
                <w:szCs w:val="24"/>
              </w:rPr>
              <w:t xml:space="preserve">Per </w:t>
            </w:r>
            <w:r w:rsidRPr="00612EF7">
              <w:rPr>
                <w:sz w:val="24"/>
                <w:szCs w:val="24"/>
              </w:rPr>
              <w:t>the WIPP Land Withdrawal Act (LWA)</w:t>
            </w:r>
            <w:r>
              <w:rPr>
                <w:sz w:val="24"/>
                <w:szCs w:val="24"/>
              </w:rPr>
              <w:t>,</w:t>
            </w:r>
            <w:r w:rsidRPr="00612EF7">
              <w:rPr>
                <w:sz w:val="24"/>
                <w:szCs w:val="24"/>
              </w:rPr>
              <w:t xml:space="preserve"> DOE submits a recertification application every five years and updates the PA to reflect changes in knowledge about the syste</w:t>
            </w:r>
            <w:r>
              <w:rPr>
                <w:sz w:val="24"/>
                <w:szCs w:val="24"/>
              </w:rPr>
              <w:t>m</w:t>
            </w:r>
            <w:r w:rsidRPr="00612EF7">
              <w:rPr>
                <w:sz w:val="24"/>
                <w:szCs w:val="24"/>
              </w:rPr>
              <w:t xml:space="preserve">. </w:t>
            </w:r>
            <w:r>
              <w:rPr>
                <w:sz w:val="24"/>
                <w:szCs w:val="24"/>
              </w:rPr>
              <w:t xml:space="preserve">For </w:t>
            </w:r>
            <w:r w:rsidR="004E7F3F">
              <w:rPr>
                <w:sz w:val="24"/>
                <w:szCs w:val="24"/>
              </w:rPr>
              <w:t xml:space="preserve">this </w:t>
            </w:r>
            <w:r w:rsidR="00033A37">
              <w:rPr>
                <w:sz w:val="24"/>
                <w:szCs w:val="24"/>
              </w:rPr>
              <w:t>Symposium presentation</w:t>
            </w:r>
            <w:r w:rsidR="00FC5A31">
              <w:rPr>
                <w:sz w:val="24"/>
                <w:szCs w:val="24"/>
              </w:rPr>
              <w:t>,</w:t>
            </w:r>
            <w:r w:rsidR="00033A37">
              <w:rPr>
                <w:sz w:val="24"/>
                <w:szCs w:val="24"/>
              </w:rPr>
              <w:t xml:space="preserve"> </w:t>
            </w:r>
            <w:r>
              <w:rPr>
                <w:sz w:val="24"/>
                <w:szCs w:val="24"/>
              </w:rPr>
              <w:t>w</w:t>
            </w:r>
            <w:r w:rsidRPr="00612EF7">
              <w:rPr>
                <w:sz w:val="24"/>
                <w:szCs w:val="24"/>
              </w:rPr>
              <w:t xml:space="preserve">e </w:t>
            </w:r>
            <w:r w:rsidR="00033A37">
              <w:rPr>
                <w:sz w:val="24"/>
                <w:szCs w:val="24"/>
              </w:rPr>
              <w:t xml:space="preserve">will </w:t>
            </w:r>
            <w:r>
              <w:rPr>
                <w:sz w:val="24"/>
                <w:szCs w:val="24"/>
              </w:rPr>
              <w:t>discuss</w:t>
            </w:r>
            <w:r w:rsidRPr="00612EF7">
              <w:rPr>
                <w:sz w:val="24"/>
                <w:szCs w:val="24"/>
              </w:rPr>
              <w:t xml:space="preserve"> </w:t>
            </w:r>
            <w:r w:rsidR="00F527E6">
              <w:rPr>
                <w:sz w:val="24"/>
                <w:szCs w:val="24"/>
              </w:rPr>
              <w:t xml:space="preserve">how </w:t>
            </w:r>
            <w:r w:rsidRPr="00612EF7">
              <w:rPr>
                <w:sz w:val="24"/>
                <w:szCs w:val="24"/>
              </w:rPr>
              <w:t>the PA</w:t>
            </w:r>
            <w:r w:rsidR="00F527E6">
              <w:rPr>
                <w:sz w:val="24"/>
                <w:szCs w:val="24"/>
              </w:rPr>
              <w:t xml:space="preserve"> has changed</w:t>
            </w:r>
            <w:r w:rsidRPr="00612EF7">
              <w:rPr>
                <w:sz w:val="24"/>
                <w:szCs w:val="24"/>
              </w:rPr>
              <w:t xml:space="preserve"> over time to address changes in our understanding of the disposal system</w:t>
            </w:r>
            <w:r w:rsidR="00551802">
              <w:rPr>
                <w:sz w:val="24"/>
                <w:szCs w:val="24"/>
              </w:rPr>
              <w:t xml:space="preserve"> and their impact to releases and subsequent compliance</w:t>
            </w:r>
            <w:r w:rsidRPr="00612EF7">
              <w:rPr>
                <w:sz w:val="24"/>
                <w:szCs w:val="24"/>
              </w:rPr>
              <w:t>.</w:t>
            </w:r>
          </w:p>
          <w:p w14:paraId="2CCA83AA" w14:textId="77777777" w:rsidR="00F527E6" w:rsidRPr="00612EF7" w:rsidRDefault="00F527E6" w:rsidP="00844640">
            <w:pPr>
              <w:jc w:val="both"/>
              <w:rPr>
                <w:sz w:val="24"/>
                <w:szCs w:val="24"/>
              </w:rPr>
            </w:pPr>
          </w:p>
          <w:p w14:paraId="4F907CDD" w14:textId="1555C225" w:rsidR="00BF0819" w:rsidRPr="00612EF7" w:rsidRDefault="00BF0819" w:rsidP="00844640">
            <w:pPr>
              <w:jc w:val="both"/>
              <w:rPr>
                <w:sz w:val="24"/>
                <w:szCs w:val="24"/>
              </w:rPr>
            </w:pPr>
            <w:r w:rsidRPr="00612EF7">
              <w:rPr>
                <w:sz w:val="24"/>
                <w:szCs w:val="24"/>
              </w:rPr>
              <w:t>In the pre-certification period in the 1990s, PA</w:t>
            </w:r>
            <w:r w:rsidR="00033A37">
              <w:rPr>
                <w:sz w:val="24"/>
                <w:szCs w:val="24"/>
              </w:rPr>
              <w:t xml:space="preserve"> calculations</w:t>
            </w:r>
            <w:r w:rsidRPr="00612EF7">
              <w:rPr>
                <w:sz w:val="24"/>
                <w:szCs w:val="24"/>
              </w:rPr>
              <w:t xml:space="preserve"> identified that </w:t>
            </w:r>
            <w:r w:rsidR="004E7F3F">
              <w:rPr>
                <w:sz w:val="24"/>
                <w:szCs w:val="24"/>
              </w:rPr>
              <w:t xml:space="preserve">low brine </w:t>
            </w:r>
            <w:r w:rsidRPr="00612EF7">
              <w:rPr>
                <w:sz w:val="24"/>
                <w:szCs w:val="24"/>
              </w:rPr>
              <w:t xml:space="preserve">pH could lead to high </w:t>
            </w:r>
            <w:r>
              <w:rPr>
                <w:sz w:val="24"/>
                <w:szCs w:val="24"/>
              </w:rPr>
              <w:t xml:space="preserve">radionuclide </w:t>
            </w:r>
            <w:r w:rsidRPr="00612EF7">
              <w:rPr>
                <w:sz w:val="24"/>
                <w:szCs w:val="24"/>
              </w:rPr>
              <w:t>releases. As a result, DOE investigated materials to buffer the system and settled on magnesium oxide (MgO). The MgO would</w:t>
            </w:r>
            <w:r>
              <w:rPr>
                <w:sz w:val="24"/>
                <w:szCs w:val="24"/>
              </w:rPr>
              <w:t xml:space="preserve"> remove CO</w:t>
            </w:r>
            <w:r w:rsidRPr="002634DC">
              <w:rPr>
                <w:sz w:val="24"/>
                <w:szCs w:val="24"/>
                <w:vertAlign w:val="subscript"/>
              </w:rPr>
              <w:t>2</w:t>
            </w:r>
            <w:r>
              <w:rPr>
                <w:sz w:val="24"/>
                <w:szCs w:val="24"/>
              </w:rPr>
              <w:t xml:space="preserve"> </w:t>
            </w:r>
            <w:r w:rsidR="000237F8">
              <w:rPr>
                <w:sz w:val="24"/>
                <w:szCs w:val="24"/>
              </w:rPr>
              <w:t xml:space="preserve">from the system through a series of hydration reactions with brine, </w:t>
            </w:r>
            <w:r>
              <w:rPr>
                <w:sz w:val="24"/>
                <w:szCs w:val="24"/>
              </w:rPr>
              <w:t>decreas</w:t>
            </w:r>
            <w:r w:rsidR="000237F8">
              <w:rPr>
                <w:sz w:val="24"/>
                <w:szCs w:val="24"/>
              </w:rPr>
              <w:t>ing</w:t>
            </w:r>
            <w:r>
              <w:rPr>
                <w:sz w:val="24"/>
                <w:szCs w:val="24"/>
              </w:rPr>
              <w:t xml:space="preserve"> repository pressures and </w:t>
            </w:r>
            <w:r w:rsidR="000237F8">
              <w:rPr>
                <w:sz w:val="24"/>
                <w:szCs w:val="24"/>
              </w:rPr>
              <w:t xml:space="preserve">buffering </w:t>
            </w:r>
            <w:r>
              <w:rPr>
                <w:sz w:val="24"/>
                <w:szCs w:val="24"/>
              </w:rPr>
              <w:t>brine to a pH where actinides are the least soluble (8&lt;pH&lt;10).</w:t>
            </w:r>
            <w:r w:rsidRPr="00612EF7">
              <w:rPr>
                <w:sz w:val="24"/>
                <w:szCs w:val="24"/>
              </w:rPr>
              <w:t xml:space="preserve"> EPA’s regulation requires an engineered barrier in addition to the natural barriers and MgO is an acceptable engineered barrier</w:t>
            </w:r>
            <w:r>
              <w:rPr>
                <w:sz w:val="24"/>
                <w:szCs w:val="24"/>
              </w:rPr>
              <w:t xml:space="preserve"> as it ensures a </w:t>
            </w:r>
            <w:proofErr w:type="spellStart"/>
            <w:r>
              <w:rPr>
                <w:sz w:val="24"/>
                <w:szCs w:val="24"/>
              </w:rPr>
              <w:t>favorable</w:t>
            </w:r>
            <w:proofErr w:type="spellEnd"/>
            <w:r>
              <w:rPr>
                <w:sz w:val="24"/>
                <w:szCs w:val="24"/>
              </w:rPr>
              <w:t xml:space="preserve"> repository chemistry</w:t>
            </w:r>
            <w:r w:rsidRPr="00612EF7">
              <w:rPr>
                <w:sz w:val="24"/>
                <w:szCs w:val="24"/>
              </w:rPr>
              <w:t xml:space="preserve">. </w:t>
            </w:r>
          </w:p>
          <w:p w14:paraId="0FC2916B" w14:textId="730235B9" w:rsidR="00115995" w:rsidRDefault="00BF0819" w:rsidP="00844640">
            <w:pPr>
              <w:jc w:val="both"/>
              <w:rPr>
                <w:sz w:val="24"/>
                <w:szCs w:val="24"/>
              </w:rPr>
            </w:pPr>
            <w:r w:rsidRPr="00612EF7">
              <w:rPr>
                <w:sz w:val="24"/>
                <w:szCs w:val="24"/>
              </w:rPr>
              <w:t>In the early 2000s DOE</w:t>
            </w:r>
            <w:r>
              <w:rPr>
                <w:sz w:val="24"/>
                <w:szCs w:val="24"/>
              </w:rPr>
              <w:t>’s</w:t>
            </w:r>
            <w:r w:rsidRPr="00612EF7">
              <w:rPr>
                <w:sz w:val="24"/>
                <w:szCs w:val="24"/>
              </w:rPr>
              <w:t xml:space="preserve"> plan to </w:t>
            </w:r>
            <w:proofErr w:type="spellStart"/>
            <w:r w:rsidRPr="00612EF7">
              <w:rPr>
                <w:sz w:val="24"/>
                <w:szCs w:val="24"/>
              </w:rPr>
              <w:t>supercompact</w:t>
            </w:r>
            <w:proofErr w:type="spellEnd"/>
            <w:r w:rsidRPr="00612EF7">
              <w:rPr>
                <w:sz w:val="24"/>
                <w:szCs w:val="24"/>
              </w:rPr>
              <w:t xml:space="preserve"> some wastes </w:t>
            </w:r>
            <w:r>
              <w:rPr>
                <w:sz w:val="24"/>
                <w:szCs w:val="24"/>
              </w:rPr>
              <w:t xml:space="preserve">with </w:t>
            </w:r>
            <w:r w:rsidRPr="00612EF7">
              <w:rPr>
                <w:sz w:val="24"/>
                <w:szCs w:val="24"/>
              </w:rPr>
              <w:t>cellulosic, plastic</w:t>
            </w:r>
            <w:r w:rsidR="00FC5A31">
              <w:rPr>
                <w:sz w:val="24"/>
                <w:szCs w:val="24"/>
              </w:rPr>
              <w:t>,</w:t>
            </w:r>
            <w:r w:rsidRPr="00612EF7">
              <w:rPr>
                <w:sz w:val="24"/>
                <w:szCs w:val="24"/>
              </w:rPr>
              <w:t xml:space="preserve"> or rubber (CPR) materials rais</w:t>
            </w:r>
            <w:r>
              <w:rPr>
                <w:sz w:val="24"/>
                <w:szCs w:val="24"/>
              </w:rPr>
              <w:t>ed</w:t>
            </w:r>
            <w:r w:rsidRPr="00612EF7">
              <w:rPr>
                <w:sz w:val="24"/>
                <w:szCs w:val="24"/>
              </w:rPr>
              <w:t xml:space="preserve"> questions</w:t>
            </w:r>
            <w:r>
              <w:rPr>
                <w:sz w:val="24"/>
                <w:szCs w:val="24"/>
              </w:rPr>
              <w:t>:</w:t>
            </w:r>
            <w:r w:rsidRPr="00612EF7">
              <w:rPr>
                <w:sz w:val="24"/>
                <w:szCs w:val="24"/>
              </w:rPr>
              <w:t xml:space="preserve"> </w:t>
            </w:r>
            <w:r>
              <w:rPr>
                <w:sz w:val="24"/>
                <w:szCs w:val="24"/>
              </w:rPr>
              <w:t>would</w:t>
            </w:r>
            <w:r w:rsidRPr="00612EF7">
              <w:rPr>
                <w:sz w:val="24"/>
                <w:szCs w:val="24"/>
              </w:rPr>
              <w:t xml:space="preserve"> the rigidity of the </w:t>
            </w:r>
            <w:r>
              <w:rPr>
                <w:sz w:val="24"/>
                <w:szCs w:val="24"/>
              </w:rPr>
              <w:t>compacted drums</w:t>
            </w:r>
            <w:r w:rsidRPr="00612EF7">
              <w:rPr>
                <w:sz w:val="24"/>
                <w:szCs w:val="24"/>
              </w:rPr>
              <w:t xml:space="preserve"> challenge the function of the salt to creep close around the waste</w:t>
            </w:r>
            <w:r>
              <w:rPr>
                <w:sz w:val="24"/>
                <w:szCs w:val="24"/>
              </w:rPr>
              <w:t>,</w:t>
            </w:r>
            <w:r w:rsidRPr="00612EF7">
              <w:rPr>
                <w:sz w:val="24"/>
                <w:szCs w:val="24"/>
              </w:rPr>
              <w:t xml:space="preserve"> and how would the large amounts of CPR contribute to increased microbial gas generation</w:t>
            </w:r>
            <w:r>
              <w:rPr>
                <w:sz w:val="24"/>
                <w:szCs w:val="24"/>
              </w:rPr>
              <w:t>?</w:t>
            </w:r>
            <w:r w:rsidRPr="00612EF7">
              <w:rPr>
                <w:sz w:val="24"/>
                <w:szCs w:val="24"/>
              </w:rPr>
              <w:t xml:space="preserve"> Through </w:t>
            </w:r>
            <w:r w:rsidR="00033A37">
              <w:rPr>
                <w:sz w:val="24"/>
                <w:szCs w:val="24"/>
              </w:rPr>
              <w:t xml:space="preserve">separate process </w:t>
            </w:r>
            <w:r w:rsidRPr="00612EF7">
              <w:rPr>
                <w:sz w:val="24"/>
                <w:szCs w:val="24"/>
              </w:rPr>
              <w:t>mode</w:t>
            </w:r>
            <w:r w:rsidR="00033A37">
              <w:rPr>
                <w:sz w:val="24"/>
                <w:szCs w:val="24"/>
              </w:rPr>
              <w:t>l</w:t>
            </w:r>
            <w:r w:rsidRPr="00612EF7">
              <w:rPr>
                <w:sz w:val="24"/>
                <w:szCs w:val="24"/>
              </w:rPr>
              <w:t xml:space="preserve">ling of the rock mechanics and a </w:t>
            </w:r>
            <w:r w:rsidR="00033A37">
              <w:rPr>
                <w:sz w:val="24"/>
                <w:szCs w:val="24"/>
              </w:rPr>
              <w:t xml:space="preserve">full </w:t>
            </w:r>
            <w:r>
              <w:rPr>
                <w:sz w:val="24"/>
                <w:szCs w:val="24"/>
              </w:rPr>
              <w:t>PA</w:t>
            </w:r>
            <w:r w:rsidRPr="00612EF7">
              <w:rPr>
                <w:sz w:val="24"/>
                <w:szCs w:val="24"/>
              </w:rPr>
              <w:t xml:space="preserve"> of the material</w:t>
            </w:r>
            <w:r>
              <w:rPr>
                <w:sz w:val="24"/>
                <w:szCs w:val="24"/>
              </w:rPr>
              <w:t xml:space="preserve">, DOE </w:t>
            </w:r>
            <w:r w:rsidRPr="00612EF7">
              <w:rPr>
                <w:sz w:val="24"/>
                <w:szCs w:val="24"/>
              </w:rPr>
              <w:t>determined that the material was acceptable, but EPA required a condition to make sure there was enough MgO available to react with microbial</w:t>
            </w:r>
            <w:r>
              <w:rPr>
                <w:sz w:val="24"/>
                <w:szCs w:val="24"/>
              </w:rPr>
              <w:t>ly</w:t>
            </w:r>
            <w:r w:rsidRPr="00612EF7">
              <w:rPr>
                <w:sz w:val="24"/>
                <w:szCs w:val="24"/>
              </w:rPr>
              <w:t xml:space="preserve"> </w:t>
            </w:r>
            <w:r>
              <w:rPr>
                <w:sz w:val="24"/>
                <w:szCs w:val="24"/>
              </w:rPr>
              <w:t>generated</w:t>
            </w:r>
            <w:r w:rsidRPr="00612EF7">
              <w:rPr>
                <w:sz w:val="24"/>
                <w:szCs w:val="24"/>
              </w:rPr>
              <w:t xml:space="preserve"> CO</w:t>
            </w:r>
            <w:r w:rsidRPr="00612EF7">
              <w:rPr>
                <w:sz w:val="24"/>
                <w:szCs w:val="24"/>
                <w:vertAlign w:val="subscript"/>
              </w:rPr>
              <w:t>2</w:t>
            </w:r>
            <w:r w:rsidRPr="00612EF7">
              <w:rPr>
                <w:sz w:val="24"/>
                <w:szCs w:val="24"/>
              </w:rPr>
              <w:t xml:space="preserve"> with a safety factor. </w:t>
            </w:r>
          </w:p>
          <w:p w14:paraId="5E067B9F" w14:textId="77777777" w:rsidR="00F527E6" w:rsidRDefault="00F527E6" w:rsidP="00844640">
            <w:pPr>
              <w:jc w:val="both"/>
              <w:rPr>
                <w:sz w:val="24"/>
                <w:szCs w:val="24"/>
              </w:rPr>
            </w:pPr>
          </w:p>
          <w:p w14:paraId="7512F729" w14:textId="1732A20D" w:rsidR="00BF0819" w:rsidRDefault="00115995" w:rsidP="00844640">
            <w:pPr>
              <w:jc w:val="both"/>
              <w:rPr>
                <w:sz w:val="24"/>
                <w:szCs w:val="24"/>
              </w:rPr>
            </w:pPr>
            <w:r>
              <w:rPr>
                <w:sz w:val="24"/>
                <w:szCs w:val="24"/>
              </w:rPr>
              <w:t>Separately and l</w:t>
            </w:r>
            <w:r w:rsidR="00BF0819" w:rsidRPr="00612EF7">
              <w:rPr>
                <w:sz w:val="24"/>
                <w:szCs w:val="24"/>
              </w:rPr>
              <w:t>ater</w:t>
            </w:r>
            <w:r w:rsidR="00BF0819">
              <w:rPr>
                <w:sz w:val="24"/>
                <w:szCs w:val="24"/>
              </w:rPr>
              <w:t xml:space="preserve">, </w:t>
            </w:r>
            <w:r>
              <w:rPr>
                <w:sz w:val="24"/>
                <w:szCs w:val="24"/>
              </w:rPr>
              <w:t>DOE continued to collect data on microbial gas generation and determined that the original rate overestimated longer-term microbial gas generation. B</w:t>
            </w:r>
            <w:r w:rsidR="00BF0819">
              <w:rPr>
                <w:sz w:val="24"/>
                <w:szCs w:val="24"/>
              </w:rPr>
              <w:t xml:space="preserve">ecause of the availability of </w:t>
            </w:r>
            <w:r w:rsidR="00BF0819" w:rsidRPr="00612EF7">
              <w:rPr>
                <w:sz w:val="24"/>
                <w:szCs w:val="24"/>
              </w:rPr>
              <w:t>additional</w:t>
            </w:r>
            <w:r w:rsidR="00BF0819">
              <w:rPr>
                <w:sz w:val="24"/>
                <w:szCs w:val="24"/>
              </w:rPr>
              <w:t xml:space="preserve"> </w:t>
            </w:r>
            <w:r w:rsidR="00BF0819" w:rsidRPr="00612EF7">
              <w:rPr>
                <w:sz w:val="24"/>
                <w:szCs w:val="24"/>
              </w:rPr>
              <w:t xml:space="preserve">data, DOE requested, and EPA approved, a reduction in the microbial gas generation rate used in the </w:t>
            </w:r>
            <w:r w:rsidR="00033A37">
              <w:rPr>
                <w:sz w:val="24"/>
                <w:szCs w:val="24"/>
              </w:rPr>
              <w:t>original certification (the Compliance Certification Application)</w:t>
            </w:r>
            <w:r w:rsidR="00BF0819" w:rsidRPr="00612EF7">
              <w:rPr>
                <w:sz w:val="24"/>
                <w:szCs w:val="24"/>
              </w:rPr>
              <w:t xml:space="preserve">. This acted to reduce releases from CPR. A lesson learned is that it </w:t>
            </w:r>
            <w:r>
              <w:rPr>
                <w:sz w:val="24"/>
                <w:szCs w:val="24"/>
              </w:rPr>
              <w:lastRenderedPageBreak/>
              <w:t>can be</w:t>
            </w:r>
            <w:r w:rsidR="00BF0819" w:rsidRPr="00612EF7">
              <w:rPr>
                <w:sz w:val="24"/>
                <w:szCs w:val="24"/>
              </w:rPr>
              <w:t xml:space="preserve"> important to keep certain experiments going for long</w:t>
            </w:r>
            <w:r w:rsidR="00FC5A31">
              <w:rPr>
                <w:sz w:val="24"/>
                <w:szCs w:val="24"/>
              </w:rPr>
              <w:t xml:space="preserve"> periods </w:t>
            </w:r>
            <w:r w:rsidR="00033A37">
              <w:rPr>
                <w:sz w:val="24"/>
                <w:szCs w:val="24"/>
              </w:rPr>
              <w:t xml:space="preserve">as the long-term experiments indicated that the short-term experiments did not fully </w:t>
            </w:r>
            <w:r>
              <w:rPr>
                <w:sz w:val="24"/>
                <w:szCs w:val="24"/>
              </w:rPr>
              <w:t>reflect</w:t>
            </w:r>
            <w:r w:rsidR="00033A37">
              <w:rPr>
                <w:sz w:val="24"/>
                <w:szCs w:val="24"/>
              </w:rPr>
              <w:t xml:space="preserve"> the </w:t>
            </w:r>
            <w:r>
              <w:rPr>
                <w:sz w:val="24"/>
                <w:szCs w:val="24"/>
              </w:rPr>
              <w:t xml:space="preserve">longer-term </w:t>
            </w:r>
            <w:r w:rsidR="00033A37">
              <w:rPr>
                <w:sz w:val="24"/>
                <w:szCs w:val="24"/>
              </w:rPr>
              <w:t>gas generation</w:t>
            </w:r>
            <w:r>
              <w:rPr>
                <w:sz w:val="24"/>
                <w:szCs w:val="24"/>
              </w:rPr>
              <w:t xml:space="preserve"> rate</w:t>
            </w:r>
            <w:r w:rsidR="00BF0819" w:rsidRPr="00612EF7">
              <w:rPr>
                <w:sz w:val="24"/>
                <w:szCs w:val="24"/>
              </w:rPr>
              <w:t>.</w:t>
            </w:r>
          </w:p>
          <w:p w14:paraId="1C41A32E" w14:textId="77777777" w:rsidR="00F527E6" w:rsidRPr="00612EF7" w:rsidRDefault="00F527E6" w:rsidP="00844640">
            <w:pPr>
              <w:jc w:val="both"/>
              <w:rPr>
                <w:sz w:val="24"/>
                <w:szCs w:val="24"/>
              </w:rPr>
            </w:pPr>
          </w:p>
          <w:p w14:paraId="73A0C7AB" w14:textId="59BCF7F7" w:rsidR="00BF0819" w:rsidRDefault="00BF0819" w:rsidP="00844640">
            <w:pPr>
              <w:jc w:val="both"/>
              <w:rPr>
                <w:sz w:val="24"/>
                <w:szCs w:val="24"/>
              </w:rPr>
            </w:pPr>
            <w:r w:rsidRPr="00612EF7">
              <w:rPr>
                <w:sz w:val="24"/>
                <w:szCs w:val="24"/>
              </w:rPr>
              <w:t>In February 2014, a radiological incident at WIPP resulted in underground contamination</w:t>
            </w:r>
            <w:r>
              <w:rPr>
                <w:sz w:val="24"/>
                <w:szCs w:val="24"/>
              </w:rPr>
              <w:t xml:space="preserve"> and kept workers from conducting </w:t>
            </w:r>
            <w:r w:rsidRPr="00612EF7">
              <w:rPr>
                <w:sz w:val="24"/>
                <w:szCs w:val="24"/>
              </w:rPr>
              <w:t>ground control for about 6 months</w:t>
            </w:r>
            <w:r>
              <w:rPr>
                <w:sz w:val="24"/>
                <w:szCs w:val="24"/>
              </w:rPr>
              <w:t xml:space="preserve">. This </w:t>
            </w:r>
            <w:r w:rsidRPr="00612EF7">
              <w:rPr>
                <w:sz w:val="24"/>
                <w:szCs w:val="24"/>
              </w:rPr>
              <w:t xml:space="preserve">resulted in </w:t>
            </w:r>
            <w:r>
              <w:rPr>
                <w:sz w:val="24"/>
                <w:szCs w:val="24"/>
              </w:rPr>
              <w:t>the abandonment of one</w:t>
            </w:r>
            <w:r w:rsidRPr="00612EF7">
              <w:rPr>
                <w:sz w:val="24"/>
                <w:szCs w:val="24"/>
              </w:rPr>
              <w:t xml:space="preserve"> waste panel and </w:t>
            </w:r>
            <w:r>
              <w:rPr>
                <w:sz w:val="24"/>
                <w:szCs w:val="24"/>
              </w:rPr>
              <w:t xml:space="preserve">the </w:t>
            </w:r>
            <w:r w:rsidR="00115995">
              <w:rPr>
                <w:sz w:val="24"/>
                <w:szCs w:val="24"/>
              </w:rPr>
              <w:t>omission</w:t>
            </w:r>
            <w:r>
              <w:rPr>
                <w:sz w:val="24"/>
                <w:szCs w:val="24"/>
              </w:rPr>
              <w:t xml:space="preserve"> of</w:t>
            </w:r>
            <w:r w:rsidRPr="00612EF7">
              <w:rPr>
                <w:sz w:val="24"/>
                <w:szCs w:val="24"/>
              </w:rPr>
              <w:t xml:space="preserve"> panel closures </w:t>
            </w:r>
            <w:r w:rsidR="00F527E6">
              <w:rPr>
                <w:sz w:val="24"/>
                <w:szCs w:val="24"/>
              </w:rPr>
              <w:t>for</w:t>
            </w:r>
            <w:r w:rsidR="00115995">
              <w:rPr>
                <w:sz w:val="24"/>
                <w:szCs w:val="24"/>
              </w:rPr>
              <w:t xml:space="preserve"> </w:t>
            </w:r>
            <w:r>
              <w:rPr>
                <w:sz w:val="24"/>
                <w:szCs w:val="24"/>
              </w:rPr>
              <w:t>several</w:t>
            </w:r>
            <w:r w:rsidRPr="00612EF7">
              <w:rPr>
                <w:sz w:val="24"/>
                <w:szCs w:val="24"/>
              </w:rPr>
              <w:t xml:space="preserve"> other</w:t>
            </w:r>
            <w:r w:rsidR="00F527E6">
              <w:rPr>
                <w:sz w:val="24"/>
                <w:szCs w:val="24"/>
              </w:rPr>
              <w:t xml:space="preserve"> panel</w:t>
            </w:r>
            <w:r w:rsidR="000237F8">
              <w:rPr>
                <w:sz w:val="24"/>
                <w:szCs w:val="24"/>
              </w:rPr>
              <w:t>s</w:t>
            </w:r>
            <w:r w:rsidRPr="00612EF7">
              <w:rPr>
                <w:sz w:val="24"/>
                <w:szCs w:val="24"/>
              </w:rPr>
              <w:t>. For the following recertification</w:t>
            </w:r>
            <w:r w:rsidR="00FC5A31">
              <w:rPr>
                <w:sz w:val="24"/>
                <w:szCs w:val="24"/>
              </w:rPr>
              <w:t>,</w:t>
            </w:r>
            <w:r w:rsidRPr="00612EF7">
              <w:rPr>
                <w:sz w:val="24"/>
                <w:szCs w:val="24"/>
              </w:rPr>
              <w:t xml:space="preserve"> DOE made bounding assumptions in the PA to deal with uncertainty in the future repository design. DOE is planning to add two new waste panels</w:t>
            </w:r>
            <w:r>
              <w:rPr>
                <w:sz w:val="24"/>
                <w:szCs w:val="24"/>
              </w:rPr>
              <w:t xml:space="preserve"> to replace lost </w:t>
            </w:r>
            <w:proofErr w:type="gramStart"/>
            <w:r>
              <w:rPr>
                <w:sz w:val="24"/>
                <w:szCs w:val="24"/>
              </w:rPr>
              <w:t>space</w:t>
            </w:r>
            <w:proofErr w:type="gramEnd"/>
            <w:r>
              <w:rPr>
                <w:sz w:val="24"/>
                <w:szCs w:val="24"/>
              </w:rPr>
              <w:t xml:space="preserve"> and this </w:t>
            </w:r>
            <w:r w:rsidRPr="00612EF7">
              <w:rPr>
                <w:sz w:val="24"/>
                <w:szCs w:val="24"/>
              </w:rPr>
              <w:t>require</w:t>
            </w:r>
            <w:r>
              <w:rPr>
                <w:sz w:val="24"/>
                <w:szCs w:val="24"/>
              </w:rPr>
              <w:t>s</w:t>
            </w:r>
            <w:r w:rsidRPr="00612EF7">
              <w:rPr>
                <w:sz w:val="24"/>
                <w:szCs w:val="24"/>
              </w:rPr>
              <w:t xml:space="preserve"> changes to the </w:t>
            </w:r>
            <w:r w:rsidR="00115995" w:rsidRPr="00612EF7">
              <w:rPr>
                <w:sz w:val="24"/>
                <w:szCs w:val="24"/>
              </w:rPr>
              <w:t>modelling</w:t>
            </w:r>
            <w:r w:rsidRPr="00612EF7">
              <w:rPr>
                <w:sz w:val="24"/>
                <w:szCs w:val="24"/>
              </w:rPr>
              <w:t xml:space="preserve"> of the system. </w:t>
            </w:r>
          </w:p>
          <w:p w14:paraId="62EC3EEB" w14:textId="77777777" w:rsidR="00F527E6" w:rsidRDefault="00F527E6" w:rsidP="00844640">
            <w:pPr>
              <w:jc w:val="both"/>
              <w:rPr>
                <w:sz w:val="24"/>
                <w:szCs w:val="24"/>
              </w:rPr>
            </w:pPr>
          </w:p>
          <w:p w14:paraId="5AFE4EC4" w14:textId="1235F3E6" w:rsidR="00115995" w:rsidRPr="00612EF7" w:rsidRDefault="00115995" w:rsidP="00844640">
            <w:pPr>
              <w:jc w:val="both"/>
              <w:rPr>
                <w:sz w:val="24"/>
                <w:szCs w:val="24"/>
              </w:rPr>
            </w:pPr>
            <w:r>
              <w:rPr>
                <w:sz w:val="24"/>
                <w:szCs w:val="24"/>
              </w:rPr>
              <w:t xml:space="preserve">EPA regulations allow for DOE to request changes to the disposal system through a planned change request process. The </w:t>
            </w:r>
            <w:r w:rsidR="00366653">
              <w:rPr>
                <w:sz w:val="24"/>
                <w:szCs w:val="24"/>
              </w:rPr>
              <w:t xml:space="preserve">use of </w:t>
            </w:r>
            <w:proofErr w:type="spellStart"/>
            <w:r w:rsidR="00366653">
              <w:rPr>
                <w:sz w:val="24"/>
                <w:szCs w:val="24"/>
              </w:rPr>
              <w:t>supercompacted</w:t>
            </w:r>
            <w:proofErr w:type="spellEnd"/>
            <w:r w:rsidR="00366653">
              <w:rPr>
                <w:sz w:val="24"/>
                <w:szCs w:val="24"/>
              </w:rPr>
              <w:t xml:space="preserve"> waste discussed </w:t>
            </w:r>
            <w:r w:rsidR="000237F8">
              <w:rPr>
                <w:sz w:val="24"/>
                <w:szCs w:val="24"/>
              </w:rPr>
              <w:t xml:space="preserve">above was </w:t>
            </w:r>
            <w:r w:rsidR="00366653">
              <w:rPr>
                <w:sz w:val="24"/>
                <w:szCs w:val="24"/>
              </w:rPr>
              <w:t xml:space="preserve">an example of </w:t>
            </w:r>
            <w:r w:rsidR="008B76A7">
              <w:rPr>
                <w:sz w:val="24"/>
                <w:szCs w:val="24"/>
              </w:rPr>
              <w:t xml:space="preserve">a </w:t>
            </w:r>
            <w:r w:rsidR="00366653">
              <w:rPr>
                <w:sz w:val="24"/>
                <w:szCs w:val="24"/>
              </w:rPr>
              <w:t xml:space="preserve">change made through the planned change process that had the potential to affect releases calculated in the </w:t>
            </w:r>
            <w:r w:rsidR="000237F8">
              <w:rPr>
                <w:sz w:val="24"/>
                <w:szCs w:val="24"/>
              </w:rPr>
              <w:t>PA</w:t>
            </w:r>
            <w:r w:rsidR="00366653">
              <w:rPr>
                <w:sz w:val="24"/>
                <w:szCs w:val="24"/>
              </w:rPr>
              <w:t xml:space="preserve">. More minor technical changes are made by </w:t>
            </w:r>
            <w:r w:rsidR="00FC5A31">
              <w:rPr>
                <w:sz w:val="24"/>
                <w:szCs w:val="24"/>
              </w:rPr>
              <w:t xml:space="preserve">the </w:t>
            </w:r>
            <w:r w:rsidR="00366653">
              <w:rPr>
                <w:sz w:val="24"/>
                <w:szCs w:val="24"/>
              </w:rPr>
              <w:t xml:space="preserve">DOE and reviewed by </w:t>
            </w:r>
            <w:r w:rsidR="00FC5A31">
              <w:rPr>
                <w:sz w:val="24"/>
                <w:szCs w:val="24"/>
              </w:rPr>
              <w:t xml:space="preserve">the </w:t>
            </w:r>
            <w:r w:rsidR="00366653">
              <w:rPr>
                <w:sz w:val="24"/>
                <w:szCs w:val="24"/>
              </w:rPr>
              <w:t>EPA in the 5-year recertification process.</w:t>
            </w:r>
            <w:r w:rsidR="003656E3">
              <w:rPr>
                <w:sz w:val="24"/>
                <w:szCs w:val="24"/>
              </w:rPr>
              <w:t xml:space="preserve"> The addition of the two new panels as a result of the 2014 radiological incident is being addressed via the planned change request process. Because of the high interest in the addition of two new panels and the potential magnitude of the change to the design, </w:t>
            </w:r>
            <w:r w:rsidR="00F527E6">
              <w:rPr>
                <w:sz w:val="24"/>
                <w:szCs w:val="24"/>
              </w:rPr>
              <w:t xml:space="preserve">however, </w:t>
            </w:r>
            <w:r w:rsidR="003656E3">
              <w:rPr>
                <w:sz w:val="24"/>
                <w:szCs w:val="24"/>
              </w:rPr>
              <w:t>EPA is asking for public comments on DOE’s planned change request</w:t>
            </w:r>
            <w:r w:rsidR="00F527E6">
              <w:rPr>
                <w:sz w:val="24"/>
                <w:szCs w:val="24"/>
              </w:rPr>
              <w:t>. EPA</w:t>
            </w:r>
            <w:r w:rsidR="003656E3">
              <w:rPr>
                <w:sz w:val="24"/>
                <w:szCs w:val="24"/>
              </w:rPr>
              <w:t xml:space="preserve"> needs to </w:t>
            </w:r>
            <w:r w:rsidR="00FC5A31">
              <w:rPr>
                <w:sz w:val="24"/>
                <w:szCs w:val="24"/>
              </w:rPr>
              <w:t>decide</w:t>
            </w:r>
            <w:r w:rsidR="003656E3">
              <w:rPr>
                <w:sz w:val="24"/>
                <w:szCs w:val="24"/>
              </w:rPr>
              <w:t xml:space="preserve"> whether the addition of two new panels is a “significant departure” from previous (re)certifications.  If </w:t>
            </w:r>
            <w:r w:rsidR="00FC5A31">
              <w:rPr>
                <w:sz w:val="24"/>
                <w:szCs w:val="24"/>
              </w:rPr>
              <w:t xml:space="preserve">the </w:t>
            </w:r>
            <w:r w:rsidR="003656E3">
              <w:rPr>
                <w:sz w:val="24"/>
                <w:szCs w:val="24"/>
              </w:rPr>
              <w:t xml:space="preserve">EPA determines the </w:t>
            </w:r>
            <w:r w:rsidR="00FC5A31">
              <w:rPr>
                <w:sz w:val="24"/>
                <w:szCs w:val="24"/>
              </w:rPr>
              <w:t xml:space="preserve">addition of </w:t>
            </w:r>
            <w:r w:rsidR="003656E3">
              <w:rPr>
                <w:sz w:val="24"/>
                <w:szCs w:val="24"/>
              </w:rPr>
              <w:t>two new panels is a significant departure, then the decision process will need to follow the federal rulemaking process</w:t>
            </w:r>
            <w:r w:rsidR="008B76A7">
              <w:rPr>
                <w:sz w:val="24"/>
                <w:szCs w:val="24"/>
              </w:rPr>
              <w:t xml:space="preserve">; otherwise, </w:t>
            </w:r>
            <w:r w:rsidR="00FC5A31">
              <w:rPr>
                <w:sz w:val="24"/>
                <w:szCs w:val="24"/>
              </w:rPr>
              <w:t xml:space="preserve">the </w:t>
            </w:r>
            <w:r w:rsidR="008B76A7">
              <w:rPr>
                <w:sz w:val="24"/>
                <w:szCs w:val="24"/>
              </w:rPr>
              <w:t>EPA is still committed to a process that has public involvement.</w:t>
            </w:r>
          </w:p>
          <w:p w14:paraId="6667B3DC" w14:textId="5F14B7C9" w:rsidR="00551802" w:rsidRPr="00D66730" w:rsidRDefault="00BF0819" w:rsidP="00844640">
            <w:pPr>
              <w:spacing w:before="60" w:after="60"/>
              <w:jc w:val="both"/>
              <w:rPr>
                <w:rFonts w:cstheme="minorHAnsi"/>
                <w:b/>
                <w:color w:val="000000" w:themeColor="text1"/>
                <w:lang w:eastAsia="ja-JP"/>
              </w:rPr>
            </w:pPr>
            <w:r w:rsidRPr="00612EF7">
              <w:rPr>
                <w:sz w:val="24"/>
                <w:szCs w:val="24"/>
              </w:rPr>
              <w:t>These examples illustrate WIPP</w:t>
            </w:r>
            <w:r>
              <w:rPr>
                <w:sz w:val="24"/>
                <w:szCs w:val="24"/>
              </w:rPr>
              <w:t xml:space="preserve"> PA</w:t>
            </w:r>
            <w:r w:rsidRPr="00612EF7">
              <w:rPr>
                <w:sz w:val="24"/>
                <w:szCs w:val="24"/>
              </w:rPr>
              <w:t xml:space="preserve"> </w:t>
            </w:r>
            <w:r>
              <w:rPr>
                <w:sz w:val="24"/>
                <w:szCs w:val="24"/>
              </w:rPr>
              <w:t>evolution</w:t>
            </w:r>
            <w:r w:rsidRPr="00612EF7">
              <w:rPr>
                <w:sz w:val="24"/>
                <w:szCs w:val="24"/>
              </w:rPr>
              <w:t xml:space="preserve"> over time. </w:t>
            </w:r>
            <w:r>
              <w:rPr>
                <w:sz w:val="24"/>
                <w:szCs w:val="24"/>
              </w:rPr>
              <w:t xml:space="preserve">The PA has been used to understand </w:t>
            </w:r>
            <w:r w:rsidR="000237F8">
              <w:rPr>
                <w:sz w:val="24"/>
                <w:szCs w:val="24"/>
              </w:rPr>
              <w:t xml:space="preserve">the impacts of </w:t>
            </w:r>
            <w:r>
              <w:rPr>
                <w:sz w:val="24"/>
                <w:szCs w:val="24"/>
              </w:rPr>
              <w:t xml:space="preserve">repository </w:t>
            </w:r>
            <w:r w:rsidR="00115995">
              <w:rPr>
                <w:sz w:val="24"/>
                <w:szCs w:val="24"/>
              </w:rPr>
              <w:t>behaviour</w:t>
            </w:r>
            <w:r w:rsidR="000237F8">
              <w:rPr>
                <w:sz w:val="24"/>
                <w:szCs w:val="24"/>
              </w:rPr>
              <w:t xml:space="preserve"> such as brine pH, salt creep, </w:t>
            </w:r>
            <w:r w:rsidR="00551802">
              <w:rPr>
                <w:sz w:val="24"/>
                <w:szCs w:val="24"/>
              </w:rPr>
              <w:t xml:space="preserve">microbial activity, </w:t>
            </w:r>
            <w:r w:rsidR="000237F8">
              <w:rPr>
                <w:sz w:val="24"/>
                <w:szCs w:val="24"/>
              </w:rPr>
              <w:t>waste</w:t>
            </w:r>
            <w:r w:rsidR="00551802">
              <w:rPr>
                <w:sz w:val="24"/>
                <w:szCs w:val="24"/>
              </w:rPr>
              <w:t xml:space="preserve"> shear</w:t>
            </w:r>
            <w:r w:rsidR="000237F8">
              <w:rPr>
                <w:sz w:val="24"/>
                <w:szCs w:val="24"/>
              </w:rPr>
              <w:t xml:space="preserve"> strength</w:t>
            </w:r>
            <w:r w:rsidR="00551802">
              <w:rPr>
                <w:sz w:val="24"/>
                <w:szCs w:val="24"/>
              </w:rPr>
              <w:t>, and repository design on releases</w:t>
            </w:r>
            <w:r>
              <w:rPr>
                <w:sz w:val="24"/>
                <w:szCs w:val="24"/>
              </w:rPr>
              <w:t xml:space="preserve"> and</w:t>
            </w:r>
            <w:r w:rsidR="00115995">
              <w:rPr>
                <w:sz w:val="24"/>
                <w:szCs w:val="24"/>
              </w:rPr>
              <w:t xml:space="preserve"> has </w:t>
            </w:r>
            <w:r>
              <w:rPr>
                <w:sz w:val="24"/>
                <w:szCs w:val="24"/>
              </w:rPr>
              <w:t xml:space="preserve">been updated based on our evolving understanding </w:t>
            </w:r>
            <w:r w:rsidR="00FC5A31">
              <w:rPr>
                <w:sz w:val="24"/>
                <w:szCs w:val="24"/>
              </w:rPr>
              <w:t xml:space="preserve">of </w:t>
            </w:r>
            <w:r>
              <w:rPr>
                <w:sz w:val="24"/>
                <w:szCs w:val="24"/>
              </w:rPr>
              <w:t>real-world data</w:t>
            </w:r>
            <w:r w:rsidR="00BF19D4">
              <w:rPr>
                <w:sz w:val="24"/>
                <w:szCs w:val="24"/>
              </w:rPr>
              <w:t xml:space="preserve"> and operational changes to the disposal system</w:t>
            </w:r>
            <w:r>
              <w:rPr>
                <w:sz w:val="24"/>
                <w:szCs w:val="24"/>
              </w:rPr>
              <w:t xml:space="preserve">. </w:t>
            </w:r>
          </w:p>
        </w:tc>
      </w:tr>
    </w:tbl>
    <w:p w14:paraId="3DB85F1E" w14:textId="77777777" w:rsidR="00ED483F" w:rsidRPr="002E48ED" w:rsidRDefault="00ED483F" w:rsidP="00C60BC5">
      <w:pPr>
        <w:spacing w:after="0" w:line="240" w:lineRule="auto"/>
        <w:ind w:right="-188"/>
        <w:rPr>
          <w:rFonts w:cstheme="minorHAnsi"/>
          <w:b/>
          <w:color w:val="EEECE1" w:themeColor="background2"/>
          <w:lang w:val="de-DE" w:eastAsia="ja-JP"/>
        </w:rPr>
      </w:pPr>
    </w:p>
    <w:sectPr w:rsidR="00ED483F" w:rsidRPr="002E48ED"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BAC6B" w14:textId="77777777" w:rsidR="00AF3942" w:rsidRDefault="00AF3942" w:rsidP="00AF3942">
      <w:pPr>
        <w:spacing w:after="0" w:line="240" w:lineRule="auto"/>
      </w:pPr>
      <w:r>
        <w:separator/>
      </w:r>
    </w:p>
  </w:endnote>
  <w:endnote w:type="continuationSeparator" w:id="0">
    <w:p w14:paraId="1F088EA9" w14:textId="77777777" w:rsidR="00AF3942" w:rsidRDefault="00AF3942" w:rsidP="00AF3942">
      <w:pPr>
        <w:spacing w:after="0" w:line="240" w:lineRule="auto"/>
      </w:pPr>
      <w:r>
        <w:continuationSeparator/>
      </w:r>
    </w:p>
  </w:endnote>
  <w:endnote w:type="continuationNotice" w:id="1">
    <w:p w14:paraId="3069BA40" w14:textId="77777777" w:rsidR="00A47548" w:rsidRDefault="00A475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D3B3D" w14:textId="77777777" w:rsidR="00AF3942" w:rsidRDefault="00AF3942" w:rsidP="00AF3942">
      <w:pPr>
        <w:spacing w:after="0" w:line="240" w:lineRule="auto"/>
      </w:pPr>
      <w:r>
        <w:separator/>
      </w:r>
    </w:p>
  </w:footnote>
  <w:footnote w:type="continuationSeparator" w:id="0">
    <w:p w14:paraId="06665A54" w14:textId="77777777" w:rsidR="00AF3942" w:rsidRDefault="00AF3942" w:rsidP="00AF3942">
      <w:pPr>
        <w:spacing w:after="0" w:line="240" w:lineRule="auto"/>
      </w:pPr>
      <w:r>
        <w:continuationSeparator/>
      </w:r>
    </w:p>
  </w:footnote>
  <w:footnote w:type="continuationNotice" w:id="1">
    <w:p w14:paraId="32082CD2" w14:textId="77777777" w:rsidR="00A47548" w:rsidRDefault="00A475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84472089">
    <w:abstractNumId w:val="1"/>
  </w:num>
  <w:num w:numId="2" w16cid:durableId="163400466">
    <w:abstractNumId w:val="0"/>
  </w:num>
  <w:num w:numId="3" w16cid:durableId="970600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qgUAYKQURiwAAAA="/>
  </w:docVars>
  <w:rsids>
    <w:rsidRoot w:val="00ED483F"/>
    <w:rsid w:val="00006677"/>
    <w:rsid w:val="000237F8"/>
    <w:rsid w:val="00033A37"/>
    <w:rsid w:val="00115995"/>
    <w:rsid w:val="001215B8"/>
    <w:rsid w:val="001C5E7C"/>
    <w:rsid w:val="0024518F"/>
    <w:rsid w:val="00285532"/>
    <w:rsid w:val="002A489F"/>
    <w:rsid w:val="002B0699"/>
    <w:rsid w:val="002C48DA"/>
    <w:rsid w:val="002E48ED"/>
    <w:rsid w:val="00336CFF"/>
    <w:rsid w:val="003656E3"/>
    <w:rsid w:val="00366653"/>
    <w:rsid w:val="003D606A"/>
    <w:rsid w:val="004023E3"/>
    <w:rsid w:val="004B02C5"/>
    <w:rsid w:val="004E7F3F"/>
    <w:rsid w:val="005208E7"/>
    <w:rsid w:val="00551802"/>
    <w:rsid w:val="005F1E9E"/>
    <w:rsid w:val="005F2C0E"/>
    <w:rsid w:val="0067177D"/>
    <w:rsid w:val="0077682E"/>
    <w:rsid w:val="007E39C3"/>
    <w:rsid w:val="00844640"/>
    <w:rsid w:val="008B76A7"/>
    <w:rsid w:val="00912B96"/>
    <w:rsid w:val="009249FD"/>
    <w:rsid w:val="009C22A8"/>
    <w:rsid w:val="009C3C04"/>
    <w:rsid w:val="009F09BB"/>
    <w:rsid w:val="00A47548"/>
    <w:rsid w:val="00AF3942"/>
    <w:rsid w:val="00B22E8F"/>
    <w:rsid w:val="00B54E01"/>
    <w:rsid w:val="00BF0819"/>
    <w:rsid w:val="00BF19D4"/>
    <w:rsid w:val="00C60BC5"/>
    <w:rsid w:val="00CD5585"/>
    <w:rsid w:val="00D66730"/>
    <w:rsid w:val="00D7639A"/>
    <w:rsid w:val="00DB6052"/>
    <w:rsid w:val="00DB6830"/>
    <w:rsid w:val="00E8575F"/>
    <w:rsid w:val="00ED483F"/>
    <w:rsid w:val="00F527E6"/>
    <w:rsid w:val="00FC5A31"/>
    <w:rsid w:val="724147AC"/>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semiHidden/>
    <w:unhideWhenUsed/>
    <w:rsid w:val="00A4754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A47548"/>
  </w:style>
  <w:style w:type="paragraph" w:styleId="Footer">
    <w:name w:val="footer"/>
    <w:basedOn w:val="Normal"/>
    <w:link w:val="FooterChar"/>
    <w:uiPriority w:val="99"/>
    <w:semiHidden/>
    <w:unhideWhenUsed/>
    <w:rsid w:val="00A4754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A47548"/>
  </w:style>
  <w:style w:type="character" w:styleId="CommentReference">
    <w:name w:val="annotation reference"/>
    <w:basedOn w:val="DefaultParagraphFont"/>
    <w:uiPriority w:val="99"/>
    <w:semiHidden/>
    <w:unhideWhenUsed/>
    <w:rsid w:val="00A47548"/>
    <w:rPr>
      <w:sz w:val="16"/>
      <w:szCs w:val="16"/>
    </w:rPr>
  </w:style>
  <w:style w:type="paragraph" w:styleId="CommentText">
    <w:name w:val="annotation text"/>
    <w:basedOn w:val="Normal"/>
    <w:link w:val="CommentTextChar"/>
    <w:uiPriority w:val="99"/>
    <w:unhideWhenUsed/>
    <w:rsid w:val="00A47548"/>
    <w:pPr>
      <w:spacing w:line="240" w:lineRule="auto"/>
    </w:pPr>
    <w:rPr>
      <w:sz w:val="20"/>
      <w:szCs w:val="20"/>
    </w:rPr>
  </w:style>
  <w:style w:type="character" w:customStyle="1" w:styleId="CommentTextChar">
    <w:name w:val="Comment Text Char"/>
    <w:basedOn w:val="DefaultParagraphFont"/>
    <w:link w:val="CommentText"/>
    <w:uiPriority w:val="99"/>
    <w:rsid w:val="00A47548"/>
    <w:rPr>
      <w:sz w:val="20"/>
      <w:szCs w:val="20"/>
    </w:rPr>
  </w:style>
  <w:style w:type="paragraph" w:styleId="CommentSubject">
    <w:name w:val="annotation subject"/>
    <w:basedOn w:val="CommentText"/>
    <w:next w:val="CommentText"/>
    <w:link w:val="CommentSubjectChar"/>
    <w:uiPriority w:val="99"/>
    <w:semiHidden/>
    <w:unhideWhenUsed/>
    <w:rsid w:val="00A47548"/>
    <w:rPr>
      <w:b/>
      <w:bCs/>
    </w:rPr>
  </w:style>
  <w:style w:type="character" w:customStyle="1" w:styleId="CommentSubjectChar">
    <w:name w:val="Comment Subject Char"/>
    <w:basedOn w:val="CommentTextChar"/>
    <w:link w:val="CommentSubject"/>
    <w:uiPriority w:val="99"/>
    <w:semiHidden/>
    <w:rsid w:val="00A47548"/>
    <w:rPr>
      <w:b/>
      <w:bCs/>
      <w:sz w:val="20"/>
      <w:szCs w:val="20"/>
    </w:rPr>
  </w:style>
  <w:style w:type="character" w:styleId="Hyperlink">
    <w:name w:val="Hyperlink"/>
    <w:basedOn w:val="DefaultParagraphFont"/>
    <w:uiPriority w:val="99"/>
    <w:unhideWhenUsed/>
    <w:rsid w:val="00033A37"/>
    <w:rPr>
      <w:color w:val="0000FF" w:themeColor="hyperlink"/>
      <w:u w:val="single"/>
    </w:rPr>
  </w:style>
  <w:style w:type="character" w:styleId="UnresolvedMention">
    <w:name w:val="Unresolved Mention"/>
    <w:basedOn w:val="DefaultParagraphFont"/>
    <w:uiPriority w:val="99"/>
    <w:semiHidden/>
    <w:unhideWhenUsed/>
    <w:rsid w:val="00033A37"/>
    <w:rPr>
      <w:color w:val="605E5C"/>
      <w:shd w:val="clear" w:color="auto" w:fill="E1DFDD"/>
    </w:rPr>
  </w:style>
  <w:style w:type="paragraph" w:styleId="Revision">
    <w:name w:val="Revision"/>
    <w:hidden/>
    <w:uiPriority w:val="99"/>
    <w:semiHidden/>
    <w:rsid w:val="00F527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ntillan.Jay@epa.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derson.Ward@cbfo.doe.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ake.tom@epa.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3F451-3C95-4AD9-9BFE-1492D0755EF6}">
  <ds:schemaRefs>
    <ds:schemaRef ds:uri="http://schemas.microsoft.com/sharepoint/v3/contenttype/forms"/>
  </ds:schemaRefs>
</ds:datastoreItem>
</file>

<file path=customXml/itemProps2.xml><?xml version="1.0" encoding="utf-8"?>
<ds:datastoreItem xmlns:ds="http://schemas.openxmlformats.org/officeDocument/2006/customXml" ds:itemID="{CA02D0DE-E6BC-404E-B0BC-39747532D8A9}">
  <ds:schemaRef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947f5427-ef21-4d0b-b5d2-e3eadf686f4e"/>
    <ds:schemaRef ds:uri="http://purl.org/dc/term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0D0318C-A815-4A1D-930C-88DC24C99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A1F57D-4401-4E44-AF5E-5B682AF56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832</Words>
  <Characters>4734</Characters>
  <Application>Microsoft Office Word</Application>
  <DocSecurity>0</DocSecurity>
  <Lines>91</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MEKKI Soufiane, NEA/RWMD</cp:lastModifiedBy>
  <cp:revision>4</cp:revision>
  <dcterms:created xsi:type="dcterms:W3CDTF">2024-05-28T16:33:00Z</dcterms:created>
  <dcterms:modified xsi:type="dcterms:W3CDTF">2024-05-29T14:07:00Z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