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4B8EF1B9" w:rsidP="4B8EF1B9">
      <w:pPr>
        <w:shd w:val="clear" w:color="auto" w:fill="FFFFFF" w:themeFill="background1"/>
        <w:spacing w:after="120"/>
        <w:jc w:val="center"/>
        <w:rPr>
          <w:b/>
          <w:bCs/>
          <w:color w:val="116AAF"/>
        </w:rPr>
      </w:pPr>
      <w:r w:rsidRPr="4B8EF1B9">
        <w:rPr>
          <w:b/>
          <w:bCs/>
          <w:color w:val="116AAF"/>
          <w:sz w:val="32"/>
          <w:szCs w:val="32"/>
        </w:rPr>
        <w:t>Integration Group for the Safety Case (IGSC) Symposium 2024</w:t>
      </w:r>
      <w:r w:rsidR="00285532">
        <w:br/>
      </w:r>
      <w:r w:rsidRPr="4B8EF1B9">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4B8EF1B9">
        <w:trPr>
          <w:trHeight w:val="432"/>
        </w:trPr>
        <w:tc>
          <w:tcPr>
            <w:tcW w:w="5707" w:type="dxa"/>
          </w:tcPr>
          <w:p w14:paraId="2DBDCB72" w14:textId="525748E7" w:rsidR="00ED483F" w:rsidRPr="00D15968" w:rsidRDefault="4B8EF1B9" w:rsidP="4B8EF1B9">
            <w:pPr>
              <w:spacing w:before="60" w:after="60"/>
              <w:rPr>
                <w:b/>
                <w:bCs/>
                <w:color w:val="000000" w:themeColor="text1"/>
                <w:lang w:eastAsia="zh-CN"/>
              </w:rPr>
            </w:pPr>
            <w:r w:rsidRPr="4B8EF1B9">
              <w:rPr>
                <w:b/>
                <w:bCs/>
                <w:color w:val="000000" w:themeColor="text1"/>
              </w:rPr>
              <w:t>Abstract Number</w:t>
            </w:r>
            <w:r w:rsidRPr="4B8EF1B9">
              <w:rPr>
                <w:b/>
                <w:bCs/>
                <w:color w:val="000000" w:themeColor="text1"/>
                <w:lang w:eastAsia="ja-JP"/>
              </w:rPr>
              <w:t xml:space="preserve">:  </w:t>
            </w:r>
            <w:r w:rsidR="00D15968">
              <w:rPr>
                <w:rFonts w:hint="eastAsia"/>
                <w:b/>
                <w:bCs/>
                <w:color w:val="000000" w:themeColor="text1"/>
                <w:lang w:eastAsia="zh-CN"/>
              </w:rPr>
              <w:t>38</w:t>
            </w:r>
          </w:p>
        </w:tc>
        <w:tc>
          <w:tcPr>
            <w:tcW w:w="3376" w:type="dxa"/>
          </w:tcPr>
          <w:p w14:paraId="65329394" w14:textId="5E105228" w:rsidR="00ED483F" w:rsidRPr="00D66730" w:rsidRDefault="00D15968" w:rsidP="4B8EF1B9">
            <w:pPr>
              <w:spacing w:before="60" w:after="60"/>
              <w:rPr>
                <w:b/>
                <w:bCs/>
                <w:color w:val="000000" w:themeColor="text1"/>
                <w:lang w:eastAsia="zh-CN"/>
              </w:rPr>
            </w:pPr>
            <w:r>
              <w:rPr>
                <w:rFonts w:hint="eastAsia"/>
                <w:b/>
                <w:bCs/>
                <w:color w:val="000000" w:themeColor="text1"/>
                <w:lang w:eastAsia="zh-CN"/>
              </w:rPr>
              <w:t>Poster P4.2</w:t>
            </w:r>
          </w:p>
        </w:tc>
      </w:tr>
      <w:tr w:rsidR="00D66730" w:rsidRPr="00D66730" w14:paraId="0837F891" w14:textId="77777777" w:rsidTr="4B8EF1B9">
        <w:trPr>
          <w:trHeight w:val="516"/>
        </w:trPr>
        <w:tc>
          <w:tcPr>
            <w:tcW w:w="9083" w:type="dxa"/>
            <w:gridSpan w:val="2"/>
          </w:tcPr>
          <w:p w14:paraId="22D919D6" w14:textId="77777777" w:rsidR="00C60BC5" w:rsidRPr="00D66730" w:rsidRDefault="4B8EF1B9" w:rsidP="4B8EF1B9">
            <w:pPr>
              <w:spacing w:before="60" w:after="60"/>
              <w:rPr>
                <w:b/>
                <w:bCs/>
                <w:color w:val="000000" w:themeColor="text1"/>
                <w:lang w:eastAsia="ja-JP"/>
              </w:rPr>
            </w:pPr>
            <w:r w:rsidRPr="4B8EF1B9">
              <w:rPr>
                <w:b/>
                <w:bCs/>
                <w:color w:val="000000" w:themeColor="text1"/>
              </w:rPr>
              <w:t>Author</w:t>
            </w:r>
            <w:r w:rsidRPr="4B8EF1B9">
              <w:rPr>
                <w:b/>
                <w:bCs/>
                <w:color w:val="000000" w:themeColor="text1"/>
                <w:lang w:eastAsia="ja-JP"/>
              </w:rPr>
              <w:t>:</w:t>
            </w:r>
          </w:p>
          <w:p w14:paraId="7DC0E2AE" w14:textId="1B37FDF2" w:rsidR="00AF3942" w:rsidRPr="00D66730" w:rsidRDefault="4B8EF1B9" w:rsidP="4B8EF1B9">
            <w:pPr>
              <w:spacing w:before="60" w:after="60"/>
              <w:rPr>
                <w:b/>
                <w:bCs/>
                <w:color w:val="000000" w:themeColor="text1"/>
                <w:lang w:eastAsia="ja-JP"/>
              </w:rPr>
            </w:pPr>
            <w:r w:rsidRPr="4B8EF1B9">
              <w:rPr>
                <w:b/>
                <w:bCs/>
                <w:color w:val="000000" w:themeColor="text1"/>
                <w:lang w:eastAsia="ja-JP"/>
              </w:rPr>
              <w:t>C.M. Herbert, E.A. Howett, S.M. Wickham (Galson Sciences Ltd); H.G. Richards, I. Warner (Nuclear Restoration Services)</w:t>
            </w:r>
          </w:p>
          <w:p w14:paraId="6BC53966" w14:textId="121734D5" w:rsidR="00AF3942" w:rsidRPr="00B54480" w:rsidRDefault="00B54480" w:rsidP="002B0699">
            <w:pPr>
              <w:spacing w:before="60" w:after="60"/>
              <w:rPr>
                <w:rFonts w:cstheme="minorHAnsi"/>
                <w:bCs/>
                <w:color w:val="000000" w:themeColor="text1"/>
                <w:lang w:eastAsia="ja-JP"/>
              </w:rPr>
            </w:pPr>
            <w:r w:rsidRPr="00B54480">
              <w:rPr>
                <w:rFonts w:cstheme="minorHAnsi"/>
                <w:bCs/>
                <w:color w:val="000000" w:themeColor="text1"/>
                <w:lang w:eastAsia="ja-JP"/>
              </w:rPr>
              <w:t xml:space="preserve">Corresponding author: </w:t>
            </w:r>
            <w:hyperlink r:id="rId11" w:history="1">
              <w:r w:rsidRPr="00B54480">
                <w:rPr>
                  <w:rStyle w:val="Hyperlink"/>
                  <w:rFonts w:cstheme="minorHAnsi"/>
                  <w:bCs/>
                  <w:lang w:eastAsia="ja-JP"/>
                </w:rPr>
                <w:t>smw@galson-sciences.co.uk</w:t>
              </w:r>
            </w:hyperlink>
            <w:r w:rsidRPr="00B54480">
              <w:rPr>
                <w:rFonts w:cstheme="minorHAnsi"/>
                <w:bCs/>
                <w:color w:val="000000" w:themeColor="text1"/>
                <w:lang w:eastAsia="ja-JP"/>
              </w:rPr>
              <w:t xml:space="preserve"> </w:t>
            </w:r>
          </w:p>
        </w:tc>
      </w:tr>
      <w:tr w:rsidR="00D66730" w:rsidRPr="00D66730" w14:paraId="330BCA96" w14:textId="77777777" w:rsidTr="4B8EF1B9">
        <w:trPr>
          <w:trHeight w:val="1067"/>
        </w:trPr>
        <w:tc>
          <w:tcPr>
            <w:tcW w:w="9083" w:type="dxa"/>
            <w:gridSpan w:val="2"/>
          </w:tcPr>
          <w:p w14:paraId="6647858D" w14:textId="77777777" w:rsidR="009249FD" w:rsidRPr="00D66730" w:rsidRDefault="4B8EF1B9" w:rsidP="4B8EF1B9">
            <w:pPr>
              <w:spacing w:before="60" w:after="60"/>
              <w:rPr>
                <w:b/>
                <w:bCs/>
                <w:color w:val="000000" w:themeColor="text1"/>
                <w:lang w:eastAsia="ja-JP"/>
              </w:rPr>
            </w:pPr>
            <w:r w:rsidRPr="4B8EF1B9">
              <w:rPr>
                <w:b/>
                <w:bCs/>
                <w:color w:val="000000" w:themeColor="text1"/>
                <w:lang w:eastAsia="ja-JP"/>
              </w:rPr>
              <w:t xml:space="preserve">Abstract </w:t>
            </w:r>
            <w:r w:rsidRPr="4B8EF1B9">
              <w:rPr>
                <w:b/>
                <w:bCs/>
                <w:color w:val="000000" w:themeColor="text1"/>
              </w:rPr>
              <w:t>Title</w:t>
            </w:r>
            <w:r w:rsidRPr="4B8EF1B9">
              <w:rPr>
                <w:b/>
                <w:bCs/>
                <w:color w:val="000000" w:themeColor="text1"/>
                <w:lang w:eastAsia="ja-JP"/>
              </w:rPr>
              <w:t>:</w:t>
            </w:r>
          </w:p>
          <w:p w14:paraId="0223D0BE" w14:textId="0CAE17C6" w:rsidR="00C60BC5" w:rsidRPr="00B54480" w:rsidRDefault="4B8EF1B9" w:rsidP="00B54480">
            <w:pPr>
              <w:spacing w:before="60" w:after="60"/>
              <w:rPr>
                <w:b/>
                <w:bCs/>
                <w:color w:val="000000" w:themeColor="text1"/>
                <w:lang w:eastAsia="ja-JP"/>
              </w:rPr>
            </w:pPr>
            <w:r>
              <w:t xml:space="preserve">Demonstrating Long-term Environmental Safety of On-site Disposals: Experience from the </w:t>
            </w:r>
            <w:proofErr w:type="spellStart"/>
            <w:r>
              <w:t>Trawsfynydd</w:t>
            </w:r>
            <w:proofErr w:type="spellEnd"/>
            <w:r>
              <w:t xml:space="preserve"> Magnox Reactor Site</w:t>
            </w:r>
          </w:p>
        </w:tc>
      </w:tr>
      <w:tr w:rsidR="00D66730" w:rsidRPr="00D66730" w14:paraId="336BE7D3" w14:textId="77777777" w:rsidTr="4B8EF1B9">
        <w:trPr>
          <w:trHeight w:val="3307"/>
        </w:trPr>
        <w:tc>
          <w:tcPr>
            <w:tcW w:w="9083" w:type="dxa"/>
            <w:gridSpan w:val="2"/>
            <w:tcBorders>
              <w:bottom w:val="single" w:sz="4" w:space="0" w:color="auto"/>
            </w:tcBorders>
          </w:tcPr>
          <w:p w14:paraId="5D4B9EA3" w14:textId="77777777" w:rsidR="00285532" w:rsidRPr="00000EA0" w:rsidRDefault="4B8EF1B9" w:rsidP="00B54480">
            <w:pPr>
              <w:spacing w:before="60" w:after="60"/>
              <w:jc w:val="both"/>
              <w:rPr>
                <w:b/>
                <w:bCs/>
                <w:color w:val="000000" w:themeColor="text1"/>
                <w:lang w:eastAsia="ja-JP"/>
              </w:rPr>
            </w:pPr>
            <w:bookmarkStart w:id="0" w:name="_Hlk160098456"/>
            <w:r w:rsidRPr="4B8EF1B9">
              <w:rPr>
                <w:b/>
                <w:bCs/>
                <w:color w:val="000000" w:themeColor="text1"/>
                <w:lang w:eastAsia="ja-JP"/>
              </w:rPr>
              <w:t>Abstract (300-500 words):</w:t>
            </w:r>
          </w:p>
          <w:p w14:paraId="6DD42A3E" w14:textId="6B96A5BB" w:rsidR="000028E9" w:rsidRPr="00000EA0" w:rsidRDefault="4B8EF1B9" w:rsidP="00B54480">
            <w:pPr>
              <w:spacing w:before="60" w:after="60"/>
              <w:jc w:val="both"/>
              <w:rPr>
                <w:color w:val="000000" w:themeColor="text1"/>
                <w:lang w:eastAsia="ja-JP"/>
              </w:rPr>
            </w:pPr>
            <w:r w:rsidRPr="4B8EF1B9">
              <w:rPr>
                <w:color w:val="000000" w:themeColor="text1"/>
                <w:lang w:eastAsia="ja-JP"/>
              </w:rPr>
              <w:t xml:space="preserve">The operator of the </w:t>
            </w:r>
            <w:proofErr w:type="spellStart"/>
            <w:r w:rsidRPr="4B8EF1B9">
              <w:rPr>
                <w:color w:val="000000" w:themeColor="text1"/>
                <w:lang w:eastAsia="ja-JP"/>
              </w:rPr>
              <w:t>Trawsfynydd</w:t>
            </w:r>
            <w:proofErr w:type="spellEnd"/>
            <w:r w:rsidRPr="4B8EF1B9">
              <w:rPr>
                <w:color w:val="000000" w:themeColor="text1"/>
                <w:lang w:eastAsia="ja-JP"/>
              </w:rPr>
              <w:t xml:space="preserve"> Magnox power reactor decommissioning site is Nuclear Restoration Services (NRS) – a subsidiary of the UK Nuclear Decommissioning Authority.  The submission in December 2023 by NRS of an application for on-site disposal (OSD) of radioactive waste at the site is the first of its kind in the UK. The application is to enable the demolition, infilling, and capping of the </w:t>
            </w:r>
            <w:proofErr w:type="spellStart"/>
            <w:r w:rsidRPr="4B8EF1B9">
              <w:rPr>
                <w:color w:val="000000" w:themeColor="text1"/>
                <w:lang w:eastAsia="ja-JP"/>
              </w:rPr>
              <w:t>Trawsfynydd</w:t>
            </w:r>
            <w:proofErr w:type="spellEnd"/>
            <w:r w:rsidRPr="4B8EF1B9">
              <w:rPr>
                <w:color w:val="000000" w:themeColor="text1"/>
                <w:lang w:eastAsia="ja-JP"/>
              </w:rPr>
              <w:t xml:space="preserve"> Ponds Complex; the area of the site concerned is known as the Disposal Area. The purpose of the project is to put the Disposal Area into an interim state (including a reinforced concrete capping slab over infilled subsurface voids) that will allow it to be integrated into the operational area supporting future decommissioning of the two reactors. The interim state is to be capable of becoming part of the overall site end state without further work involving radioactivity. NRS is therefore seeking a variation to the site’s Radioactive Substances Regulation permit to allow OSD of radioactive waste, both as disposal of radioactive structures in-situ, and through using radioactive demolition arisings to fill subsurface voids.</w:t>
            </w:r>
          </w:p>
          <w:p w14:paraId="5160A101" w14:textId="547E74F7" w:rsidR="000028E9" w:rsidRPr="00000EA0" w:rsidRDefault="4B8EF1B9" w:rsidP="00B54480">
            <w:pPr>
              <w:spacing w:before="60" w:after="60"/>
              <w:jc w:val="both"/>
              <w:rPr>
                <w:color w:val="000000" w:themeColor="text1"/>
                <w:lang w:eastAsia="ja-JP"/>
              </w:rPr>
            </w:pPr>
            <w:r w:rsidRPr="4B8EF1B9">
              <w:rPr>
                <w:color w:val="000000" w:themeColor="text1"/>
                <w:lang w:eastAsia="ja-JP"/>
              </w:rPr>
              <w:t>To demonstrate compliance with the internationally accepted principles of radioactive waste management, NRS has developed a strategic approach to OSD, based on the principle that safety is central to all processes and activities. In this context, the term “safety” can be regarded as representing the achievement of appropriate conditions such as to provide an adequate and optimised level of protection to workers, members of the public and the environment from hazards. The approach is based on implementing five key processes and/or activities:</w:t>
            </w:r>
          </w:p>
          <w:p w14:paraId="030D7976" w14:textId="7769551D" w:rsidR="000028E9" w:rsidRPr="00000EA0" w:rsidRDefault="4B8EF1B9" w:rsidP="00B54480">
            <w:pPr>
              <w:pStyle w:val="ListParagraph"/>
              <w:numPr>
                <w:ilvl w:val="0"/>
                <w:numId w:val="4"/>
              </w:numPr>
              <w:spacing w:before="60" w:after="60"/>
              <w:jc w:val="both"/>
              <w:rPr>
                <w:color w:val="000000" w:themeColor="text1"/>
                <w:lang w:eastAsia="ja-JP"/>
              </w:rPr>
            </w:pPr>
            <w:r w:rsidRPr="4B8EF1B9">
              <w:rPr>
                <w:color w:val="000000" w:themeColor="text1"/>
                <w:lang w:eastAsia="ja-JP"/>
              </w:rPr>
              <w:t xml:space="preserve">Develop an adequate understanding of the wastes, the </w:t>
            </w:r>
            <w:proofErr w:type="gramStart"/>
            <w:r w:rsidRPr="4B8EF1B9">
              <w:rPr>
                <w:color w:val="000000" w:themeColor="text1"/>
                <w:lang w:eastAsia="ja-JP"/>
              </w:rPr>
              <w:t>site</w:t>
            </w:r>
            <w:proofErr w:type="gramEnd"/>
            <w:r w:rsidRPr="4B8EF1B9">
              <w:rPr>
                <w:color w:val="000000" w:themeColor="text1"/>
                <w:lang w:eastAsia="ja-JP"/>
              </w:rPr>
              <w:t xml:space="preserve"> and its surroundings.</w:t>
            </w:r>
          </w:p>
          <w:p w14:paraId="36F94C08" w14:textId="1EF32FD9" w:rsidR="000028E9" w:rsidRPr="00000EA0" w:rsidRDefault="4B8EF1B9" w:rsidP="00B54480">
            <w:pPr>
              <w:pStyle w:val="ListParagraph"/>
              <w:numPr>
                <w:ilvl w:val="0"/>
                <w:numId w:val="4"/>
              </w:numPr>
              <w:spacing w:before="60" w:after="60"/>
              <w:jc w:val="both"/>
              <w:rPr>
                <w:color w:val="000000" w:themeColor="text1"/>
                <w:lang w:eastAsia="ja-JP"/>
              </w:rPr>
            </w:pPr>
            <w:r w:rsidRPr="4B8EF1B9">
              <w:rPr>
                <w:color w:val="000000" w:themeColor="text1"/>
                <w:lang w:eastAsia="ja-JP"/>
              </w:rPr>
              <w:t>Confirm that the public and environment are protected against radiological and non-radiological hazards.</w:t>
            </w:r>
          </w:p>
          <w:p w14:paraId="14E6902D" w14:textId="727F6A7A" w:rsidR="000028E9" w:rsidRPr="00000EA0" w:rsidRDefault="4B8EF1B9" w:rsidP="00B54480">
            <w:pPr>
              <w:pStyle w:val="ListParagraph"/>
              <w:numPr>
                <w:ilvl w:val="0"/>
                <w:numId w:val="4"/>
              </w:numPr>
              <w:spacing w:before="60" w:after="60"/>
              <w:jc w:val="both"/>
              <w:rPr>
                <w:color w:val="000000" w:themeColor="text1"/>
                <w:lang w:eastAsia="ja-JP"/>
              </w:rPr>
            </w:pPr>
            <w:r w:rsidRPr="4B8EF1B9">
              <w:rPr>
                <w:color w:val="000000" w:themeColor="text1"/>
                <w:lang w:eastAsia="ja-JP"/>
              </w:rPr>
              <w:t>Identify optimised configurations for OSDs.</w:t>
            </w:r>
          </w:p>
          <w:p w14:paraId="6C35BA7A" w14:textId="1D24B193" w:rsidR="000028E9" w:rsidRPr="00000EA0" w:rsidRDefault="4B8EF1B9" w:rsidP="00B54480">
            <w:pPr>
              <w:pStyle w:val="ListParagraph"/>
              <w:numPr>
                <w:ilvl w:val="0"/>
                <w:numId w:val="4"/>
              </w:numPr>
              <w:spacing w:before="60" w:after="60"/>
              <w:jc w:val="both"/>
              <w:rPr>
                <w:color w:val="000000" w:themeColor="text1"/>
                <w:lang w:eastAsia="ja-JP"/>
              </w:rPr>
            </w:pPr>
            <w:r w:rsidRPr="4B8EF1B9">
              <w:rPr>
                <w:color w:val="000000" w:themeColor="text1"/>
                <w:lang w:eastAsia="ja-JP"/>
              </w:rPr>
              <w:t>Work in an open and inclusive manner.</w:t>
            </w:r>
          </w:p>
          <w:p w14:paraId="643FD9FF" w14:textId="23BD1392" w:rsidR="000028E9" w:rsidRPr="00000EA0" w:rsidRDefault="4B8EF1B9" w:rsidP="00B54480">
            <w:pPr>
              <w:pStyle w:val="ListParagraph"/>
              <w:numPr>
                <w:ilvl w:val="0"/>
                <w:numId w:val="4"/>
              </w:numPr>
              <w:spacing w:before="60" w:after="60"/>
              <w:jc w:val="both"/>
              <w:rPr>
                <w:color w:val="000000" w:themeColor="text1"/>
                <w:lang w:eastAsia="ja-JP"/>
              </w:rPr>
            </w:pPr>
            <w:r w:rsidRPr="4B8EF1B9">
              <w:rPr>
                <w:color w:val="000000" w:themeColor="text1"/>
                <w:lang w:eastAsia="ja-JP"/>
              </w:rPr>
              <w:t>Operate within a sound management framework and a positive environmental safety culture.</w:t>
            </w:r>
          </w:p>
          <w:p w14:paraId="7B80FECC" w14:textId="7E2BBD73" w:rsidR="000028E9" w:rsidRPr="00000EA0" w:rsidRDefault="4B8EF1B9" w:rsidP="00B54480">
            <w:pPr>
              <w:spacing w:before="60" w:after="60"/>
              <w:jc w:val="both"/>
              <w:rPr>
                <w:color w:val="000000" w:themeColor="text1"/>
                <w:lang w:eastAsia="ja-JP"/>
              </w:rPr>
            </w:pPr>
            <w:r w:rsidRPr="4B8EF1B9">
              <w:rPr>
                <w:color w:val="000000" w:themeColor="text1"/>
                <w:lang w:eastAsia="ja-JP"/>
              </w:rPr>
              <w:t xml:space="preserve">Owing to the staged approach to achieving the </w:t>
            </w:r>
            <w:proofErr w:type="spellStart"/>
            <w:r w:rsidRPr="4B8EF1B9">
              <w:rPr>
                <w:color w:val="000000" w:themeColor="text1"/>
                <w:lang w:eastAsia="ja-JP"/>
              </w:rPr>
              <w:t>Trawsfynydd</w:t>
            </w:r>
            <w:proofErr w:type="spellEnd"/>
            <w:r w:rsidRPr="4B8EF1B9">
              <w:rPr>
                <w:color w:val="000000" w:themeColor="text1"/>
                <w:lang w:eastAsia="ja-JP"/>
              </w:rPr>
              <w:t xml:space="preserve"> site end state, with decommissioning of the Ponds Complex some decades ahead of full decommissioning of the reactor buildings, NRS must demonstrate how the proposed near-term OSDs have been optimised, and how they could impact future site-wide optimisation decisions.</w:t>
            </w:r>
          </w:p>
          <w:p w14:paraId="6667B3DC" w14:textId="21DE7D5E" w:rsidR="00D66730" w:rsidRPr="00000EA0" w:rsidRDefault="4B8EF1B9" w:rsidP="00B54480">
            <w:pPr>
              <w:spacing w:before="60" w:after="60"/>
              <w:jc w:val="both"/>
              <w:rPr>
                <w:color w:val="000000" w:themeColor="text1"/>
                <w:lang w:eastAsia="ja-JP"/>
              </w:rPr>
            </w:pPr>
            <w:r w:rsidRPr="4B8EF1B9">
              <w:rPr>
                <w:color w:val="000000" w:themeColor="text1"/>
                <w:lang w:eastAsia="ja-JP"/>
              </w:rPr>
              <w:t xml:space="preserve">This paper will discuss the strategic approaches followed by NRS at </w:t>
            </w:r>
            <w:proofErr w:type="spellStart"/>
            <w:r w:rsidRPr="4B8EF1B9">
              <w:rPr>
                <w:color w:val="000000" w:themeColor="text1"/>
                <w:lang w:eastAsia="ja-JP"/>
              </w:rPr>
              <w:t>Trawsfynydd</w:t>
            </w:r>
            <w:proofErr w:type="spellEnd"/>
            <w:r w:rsidRPr="4B8EF1B9">
              <w:rPr>
                <w:color w:val="000000" w:themeColor="text1"/>
                <w:lang w:eastAsia="ja-JP"/>
              </w:rPr>
              <w:t xml:space="preserve"> and will present aspects of the approach to optimisation and environmental safety assessment of the proposed near-term OSDs.</w:t>
            </w:r>
          </w:p>
        </w:tc>
      </w:tr>
      <w:bookmarkEnd w:id="0"/>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1D50B" w14:textId="77777777" w:rsidR="00092C13" w:rsidRDefault="00092C13" w:rsidP="00AF3942">
      <w:pPr>
        <w:spacing w:after="0" w:line="240" w:lineRule="auto"/>
      </w:pPr>
      <w:r>
        <w:separator/>
      </w:r>
    </w:p>
  </w:endnote>
  <w:endnote w:type="continuationSeparator" w:id="0">
    <w:p w14:paraId="264653EA" w14:textId="77777777" w:rsidR="00092C13" w:rsidRDefault="00092C13"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053B8" w14:textId="77777777" w:rsidR="00092C13" w:rsidRDefault="00092C13" w:rsidP="00AF3942">
      <w:pPr>
        <w:spacing w:after="0" w:line="240" w:lineRule="auto"/>
      </w:pPr>
      <w:r>
        <w:separator/>
      </w:r>
    </w:p>
  </w:footnote>
  <w:footnote w:type="continuationSeparator" w:id="0">
    <w:p w14:paraId="4F3F2EB7" w14:textId="77777777" w:rsidR="00092C13" w:rsidRDefault="00092C13"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5B87"/>
    <w:multiLevelType w:val="hybridMultilevel"/>
    <w:tmpl w:val="30B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FFFFFFFF">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2"/>
  </w:num>
  <w:num w:numId="2" w16cid:durableId="1627541623">
    <w:abstractNumId w:val="1"/>
  </w:num>
  <w:num w:numId="3" w16cid:durableId="612253574">
    <w:abstractNumId w:val="3"/>
  </w:num>
  <w:num w:numId="4" w16cid:durableId="1424767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0EA0"/>
    <w:rsid w:val="000028E9"/>
    <w:rsid w:val="00006677"/>
    <w:rsid w:val="00092C13"/>
    <w:rsid w:val="001215B8"/>
    <w:rsid w:val="0014204B"/>
    <w:rsid w:val="001571CC"/>
    <w:rsid w:val="00180C3C"/>
    <w:rsid w:val="001D70C8"/>
    <w:rsid w:val="0024518F"/>
    <w:rsid w:val="00285532"/>
    <w:rsid w:val="002B0699"/>
    <w:rsid w:val="002C48DA"/>
    <w:rsid w:val="003B2272"/>
    <w:rsid w:val="003D606A"/>
    <w:rsid w:val="005208E7"/>
    <w:rsid w:val="00542D5C"/>
    <w:rsid w:val="005E77C3"/>
    <w:rsid w:val="0067177D"/>
    <w:rsid w:val="00691DEF"/>
    <w:rsid w:val="006D3145"/>
    <w:rsid w:val="0077682E"/>
    <w:rsid w:val="007A7562"/>
    <w:rsid w:val="007E39C3"/>
    <w:rsid w:val="00861425"/>
    <w:rsid w:val="00892193"/>
    <w:rsid w:val="009249FD"/>
    <w:rsid w:val="00946BB4"/>
    <w:rsid w:val="00946C6B"/>
    <w:rsid w:val="009C3C04"/>
    <w:rsid w:val="00AF3942"/>
    <w:rsid w:val="00B22E8F"/>
    <w:rsid w:val="00B54480"/>
    <w:rsid w:val="00B658C9"/>
    <w:rsid w:val="00C60BC5"/>
    <w:rsid w:val="00C95D56"/>
    <w:rsid w:val="00CD5585"/>
    <w:rsid w:val="00D15968"/>
    <w:rsid w:val="00D66730"/>
    <w:rsid w:val="00D7639A"/>
    <w:rsid w:val="00DB6830"/>
    <w:rsid w:val="00E7020A"/>
    <w:rsid w:val="00EB1901"/>
    <w:rsid w:val="00EB589C"/>
    <w:rsid w:val="00ED483F"/>
    <w:rsid w:val="1CD59828"/>
    <w:rsid w:val="4B8EF1B9"/>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946C6B"/>
    <w:pPr>
      <w:spacing w:after="0" w:line="240" w:lineRule="auto"/>
    </w:pPr>
  </w:style>
  <w:style w:type="character" w:styleId="Hyperlink">
    <w:name w:val="Hyperlink"/>
    <w:basedOn w:val="DefaultParagraphFont"/>
    <w:uiPriority w:val="99"/>
    <w:unhideWhenUsed/>
    <w:rsid w:val="00B54480"/>
    <w:rPr>
      <w:color w:val="0000FF" w:themeColor="hyperlink"/>
      <w:u w:val="single"/>
    </w:rPr>
  </w:style>
  <w:style w:type="character" w:styleId="UnresolvedMention">
    <w:name w:val="Unresolved Mention"/>
    <w:basedOn w:val="DefaultParagraphFont"/>
    <w:uiPriority w:val="99"/>
    <w:semiHidden/>
    <w:unhideWhenUsed/>
    <w:rsid w:val="00B54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w@galson-sciences.co.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9215E-4E74-4390-962B-600E9F26EEF7}">
  <ds:schemaRefs>
    <ds:schemaRef ds:uri="http://schemas.microsoft.com/sharepoint/v3/contenttype/form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FE738C77-A031-41CE-A5A6-E7D2851153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4852B3-BF5A-4801-BD6E-C084FC18A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465</Words>
  <Characters>2659</Characters>
  <Application>Microsoft Office Word</Application>
  <DocSecurity>0</DocSecurity>
  <Lines>53</Lines>
  <Paragraphs>29</Paragraphs>
  <ScaleCrop>false</ScaleCrop>
  <Company>Microsoft</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2</cp:revision>
  <cp:lastPrinted>2024-02-28T20:04:00Z</cp:lastPrinted>
  <dcterms:created xsi:type="dcterms:W3CDTF">2024-06-18T14:22:00Z</dcterms:created>
  <dcterms:modified xsi:type="dcterms:W3CDTF">2024-06-18T14:22:00Z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MSIP_Label_fe484598-546c-43a2-bfce-4d67ee2f6497_Enabled">
    <vt:lpwstr>true</vt:lpwstr>
  </property>
  <property fmtid="{D5CDD505-2E9C-101B-9397-08002B2CF9AE}" pid="4" name="MSIP_Label_fe484598-546c-43a2-bfce-4d67ee2f6497_SetDate">
    <vt:lpwstr>2024-02-28T20:06:35Z</vt:lpwstr>
  </property>
  <property fmtid="{D5CDD505-2E9C-101B-9397-08002B2CF9AE}" pid="5" name="MSIP_Label_fe484598-546c-43a2-bfce-4d67ee2f6497_Method">
    <vt:lpwstr>Privileged</vt:lpwstr>
  </property>
  <property fmtid="{D5CDD505-2E9C-101B-9397-08002B2CF9AE}" pid="6" name="MSIP_Label_fe484598-546c-43a2-bfce-4d67ee2f6497_Name">
    <vt:lpwstr>OFFICIAL [UNMARKED]</vt:lpwstr>
  </property>
  <property fmtid="{D5CDD505-2E9C-101B-9397-08002B2CF9AE}" pid="7" name="MSIP_Label_fe484598-546c-43a2-bfce-4d67ee2f6497_SiteId">
    <vt:lpwstr>8af7874e-5d8a-4685-85d9-93475ca367ef</vt:lpwstr>
  </property>
  <property fmtid="{D5CDD505-2E9C-101B-9397-08002B2CF9AE}" pid="8" name="MSIP_Label_fe484598-546c-43a2-bfce-4d67ee2f6497_ActionId">
    <vt:lpwstr>96b4374c-2db1-415b-8a95-0f692b00d755</vt:lpwstr>
  </property>
  <property fmtid="{D5CDD505-2E9C-101B-9397-08002B2CF9AE}" pid="9" name="MSIP_Label_fe484598-546c-43a2-bfce-4d67ee2f6497_ContentBits">
    <vt:lpwstr>0</vt:lpwstr>
  </property>
  <property fmtid="{D5CDD505-2E9C-101B-9397-08002B2CF9AE}" pid="10" name="ContentTypeId">
    <vt:lpwstr>0x01010002FAEBA6069C9F458C0085404E0C5FFE</vt:lpwstr>
  </property>
</Properties>
</file>