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D5C65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516E464A" w14:textId="77777777" w:rsidR="009249FD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0E8B562F" w14:textId="77777777" w:rsidR="00ED483F" w:rsidRPr="00AF3942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2"/>
        <w:gridCol w:w="4504"/>
      </w:tblGrid>
      <w:tr w:rsidR="00ED483F" w:rsidRPr="00AF3942" w14:paraId="4765E619" w14:textId="77777777" w:rsidTr="00ED483F">
        <w:tc>
          <w:tcPr>
            <w:tcW w:w="4583" w:type="dxa"/>
          </w:tcPr>
          <w:p w14:paraId="1275FFA0" w14:textId="4929775A" w:rsidR="00ED483F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</w:rPr>
            </w:pPr>
            <w:r w:rsidRPr="00AF3942">
              <w:rPr>
                <w:rFonts w:cstheme="minorHAnsi"/>
                <w:b/>
              </w:rPr>
              <w:t>Abstract Number</w:t>
            </w:r>
            <w:r w:rsidR="00AF3942">
              <w:rPr>
                <w:rFonts w:cstheme="minorHAnsi" w:hint="eastAsia"/>
                <w:b/>
                <w:lang w:eastAsia="ja-JP"/>
              </w:rPr>
              <w:t>:</w:t>
            </w:r>
            <w:r w:rsidR="00285532" w:rsidRPr="00AF3942">
              <w:rPr>
                <w:rFonts w:cstheme="minorHAnsi"/>
                <w:b/>
                <w:lang w:eastAsia="ja-JP"/>
              </w:rPr>
              <w:t xml:space="preserve">  </w:t>
            </w:r>
            <w:r w:rsidR="00D54959">
              <w:rPr>
                <w:rFonts w:cstheme="minorHAnsi"/>
                <w:b/>
                <w:lang w:eastAsia="ja-JP"/>
              </w:rPr>
              <w:t>70</w:t>
            </w:r>
            <w:r w:rsidRPr="00AF3942">
              <w:rPr>
                <w:rFonts w:cstheme="minorHAnsi"/>
                <w:b/>
              </w:rPr>
              <w:t xml:space="preserve">       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  <w:r w:rsidRPr="00AF3942">
              <w:rPr>
                <w:rFonts w:cstheme="minorHAnsi"/>
                <w:noProof/>
              </w:rPr>
              <w:t> </w:t>
            </w:r>
          </w:p>
        </w:tc>
        <w:tc>
          <w:tcPr>
            <w:tcW w:w="4583" w:type="dxa"/>
          </w:tcPr>
          <w:p w14:paraId="53DC5997" w14:textId="658E3F13" w:rsidR="00ED483F" w:rsidRPr="00AF3942" w:rsidRDefault="000B2B55" w:rsidP="00AF3942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Poster P6.</w:t>
            </w:r>
            <w:r w:rsidR="00374C4F">
              <w:rPr>
                <w:rFonts w:cstheme="minorHAnsi"/>
                <w:b/>
                <w:lang w:eastAsia="ja-JP"/>
              </w:rPr>
              <w:t>3</w:t>
            </w:r>
            <w:r>
              <w:rPr>
                <w:rFonts w:cstheme="minorHAnsi"/>
                <w:b/>
                <w:lang w:eastAsia="ja-JP"/>
              </w:rPr>
              <w:t>.</w:t>
            </w:r>
            <w:r w:rsidR="00374C4F">
              <w:rPr>
                <w:rFonts w:cstheme="minorHAnsi"/>
                <w:b/>
                <w:lang w:eastAsia="ja-JP"/>
              </w:rPr>
              <w:t>1</w:t>
            </w:r>
          </w:p>
        </w:tc>
      </w:tr>
      <w:tr w:rsidR="00ED483F" w:rsidRPr="00AF3942" w14:paraId="1E1F085A" w14:textId="77777777" w:rsidTr="00C60BC5">
        <w:trPr>
          <w:trHeight w:val="461"/>
        </w:trPr>
        <w:tc>
          <w:tcPr>
            <w:tcW w:w="9166" w:type="dxa"/>
            <w:gridSpan w:val="2"/>
          </w:tcPr>
          <w:p w14:paraId="2B392AAB" w14:textId="77777777" w:rsidR="00C60BC5" w:rsidRPr="00AF3942" w:rsidRDefault="00ED483F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</w:rPr>
              <w:t>Author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27DE2D0B" w14:textId="564551DE" w:rsidR="00982F88" w:rsidRDefault="00607777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Robert Kingsbury</w:t>
            </w:r>
          </w:p>
          <w:p w14:paraId="7B5D5949" w14:textId="1A2E3BAB" w:rsidR="00982F88" w:rsidRDefault="00982F88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Canadian Nuclear Laboratories</w:t>
            </w:r>
          </w:p>
          <w:p w14:paraId="5D8DB5A2" w14:textId="31C2F39F" w:rsidR="00982F88" w:rsidRDefault="00982F88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Chalk River, Ontario</w:t>
            </w:r>
            <w:r w:rsidR="00CD027D">
              <w:rPr>
                <w:rFonts w:cstheme="minorHAnsi"/>
                <w:b/>
                <w:lang w:eastAsia="ja-JP"/>
              </w:rPr>
              <w:t>,</w:t>
            </w:r>
            <w:r>
              <w:rPr>
                <w:rFonts w:cstheme="minorHAnsi"/>
                <w:b/>
                <w:lang w:eastAsia="ja-JP"/>
              </w:rPr>
              <w:t xml:space="preserve"> Canada</w:t>
            </w:r>
          </w:p>
          <w:p w14:paraId="2F98DD87" w14:textId="319C790D" w:rsidR="00982F88" w:rsidRDefault="00605721" w:rsidP="00C60BC5">
            <w:pPr>
              <w:spacing w:before="60" w:after="60"/>
              <w:ind w:right="-187"/>
              <w:rPr>
                <w:rFonts w:cstheme="minorHAnsi"/>
                <w:b/>
                <w:lang w:eastAsia="zh-CN"/>
              </w:rPr>
            </w:pPr>
            <w:hyperlink r:id="rId11" w:history="1">
              <w:r w:rsidR="00244FC3" w:rsidRPr="00885553">
                <w:rPr>
                  <w:rStyle w:val="Hyperlink"/>
                  <w:rFonts w:cstheme="minorHAnsi"/>
                  <w:b/>
                  <w:lang w:eastAsia="ja-JP"/>
                </w:rPr>
                <w:t>robert.kingsbury@cnl.ca</w:t>
              </w:r>
            </w:hyperlink>
            <w:r w:rsidR="00244FC3">
              <w:rPr>
                <w:rFonts w:cstheme="minorHAnsi" w:hint="eastAsia"/>
                <w:b/>
                <w:lang w:eastAsia="zh-CN"/>
              </w:rPr>
              <w:t xml:space="preserve"> </w:t>
            </w:r>
          </w:p>
          <w:p w14:paraId="03A89AA1" w14:textId="77777777" w:rsidR="0064631F" w:rsidRDefault="0064631F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</w:p>
          <w:p w14:paraId="4B26B6F1" w14:textId="1172C788" w:rsidR="00AF3942" w:rsidRDefault="00607777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Michael Labriola</w:t>
            </w:r>
          </w:p>
          <w:p w14:paraId="4C1BBD7F" w14:textId="77777777" w:rsidR="00CD027D" w:rsidRPr="00CD027D" w:rsidRDefault="00CD027D" w:rsidP="00CD027D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CD027D">
              <w:rPr>
                <w:rFonts w:cstheme="minorHAnsi"/>
                <w:b/>
                <w:lang w:eastAsia="ja-JP"/>
              </w:rPr>
              <w:t>Canadian Nuclear Laboratories</w:t>
            </w:r>
          </w:p>
          <w:p w14:paraId="5F417DF0" w14:textId="77777777" w:rsidR="00CD027D" w:rsidRPr="00CD027D" w:rsidRDefault="00CD027D" w:rsidP="00CD027D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CD027D">
              <w:rPr>
                <w:rFonts w:cstheme="minorHAnsi"/>
                <w:b/>
                <w:lang w:eastAsia="ja-JP"/>
              </w:rPr>
              <w:t>Chalk River, Ontario, Canada</w:t>
            </w:r>
          </w:p>
          <w:p w14:paraId="274506B5" w14:textId="6C486EFC" w:rsidR="00AF3942" w:rsidRPr="00244FC3" w:rsidRDefault="00244FC3" w:rsidP="00C60BC5">
            <w:pPr>
              <w:spacing w:before="60" w:after="60"/>
              <w:ind w:right="-187"/>
              <w:rPr>
                <w:rFonts w:cstheme="minorHAnsi"/>
                <w:b/>
                <w:lang w:eastAsia="zh-CN"/>
              </w:rPr>
            </w:pPr>
            <w:hyperlink r:id="rId12" w:history="1">
              <w:r w:rsidRPr="00885553">
                <w:rPr>
                  <w:rStyle w:val="Hyperlink"/>
                  <w:rFonts w:cstheme="minorHAnsi"/>
                  <w:b/>
                  <w:lang w:eastAsia="ja-JP"/>
                </w:rPr>
                <w:t>michael.labriola@cnl.ca</w:t>
              </w:r>
            </w:hyperlink>
            <w:r>
              <w:rPr>
                <w:rFonts w:cstheme="minorHAnsi" w:hint="eastAsia"/>
                <w:b/>
                <w:lang w:eastAsia="zh-CN"/>
              </w:rPr>
              <w:t xml:space="preserve"> </w:t>
            </w:r>
          </w:p>
        </w:tc>
      </w:tr>
      <w:tr w:rsidR="00ED483F" w:rsidRPr="00AF3942" w14:paraId="340440BD" w14:textId="77777777" w:rsidTr="00605721">
        <w:trPr>
          <w:trHeight w:val="50"/>
        </w:trPr>
        <w:tc>
          <w:tcPr>
            <w:tcW w:w="9166" w:type="dxa"/>
            <w:gridSpan w:val="2"/>
          </w:tcPr>
          <w:p w14:paraId="279019D2" w14:textId="77777777" w:rsidR="009249FD" w:rsidRPr="00AF3942" w:rsidRDefault="0028553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 xml:space="preserve">Abstract </w:t>
            </w:r>
            <w:r w:rsidR="00ED483F" w:rsidRPr="00AF3942">
              <w:rPr>
                <w:rFonts w:cstheme="minorHAnsi"/>
                <w:b/>
              </w:rPr>
              <w:t>Title</w:t>
            </w:r>
            <w:r w:rsidR="00AF3942" w:rsidRPr="00AF3942">
              <w:rPr>
                <w:rFonts w:cstheme="minorHAnsi"/>
                <w:b/>
                <w:lang w:eastAsia="ja-JP"/>
              </w:rPr>
              <w:t>:</w:t>
            </w:r>
          </w:p>
          <w:p w14:paraId="73B2F8EB" w14:textId="0DC4B351" w:rsidR="00C60BC5" w:rsidRPr="00AF3942" w:rsidRDefault="00816FBB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/>
                <w:lang w:eastAsia="ja-JP"/>
              </w:rPr>
              <w:t>Developing a Safety Case for a Low-Level Radioactive Waste Disposal Facility</w:t>
            </w:r>
          </w:p>
        </w:tc>
      </w:tr>
      <w:tr w:rsidR="00285532" w:rsidRPr="00AF3942" w14:paraId="4F3087D0" w14:textId="77777777" w:rsidTr="00605721">
        <w:trPr>
          <w:trHeight w:val="7010"/>
        </w:trPr>
        <w:tc>
          <w:tcPr>
            <w:tcW w:w="9166" w:type="dxa"/>
            <w:gridSpan w:val="2"/>
            <w:tcBorders>
              <w:bottom w:val="single" w:sz="4" w:space="0" w:color="auto"/>
            </w:tcBorders>
          </w:tcPr>
          <w:p w14:paraId="3B82020C" w14:textId="77777777" w:rsidR="00285532" w:rsidRDefault="00AF3942" w:rsidP="00C60BC5">
            <w:pPr>
              <w:spacing w:before="60" w:after="60"/>
              <w:ind w:right="-187"/>
              <w:rPr>
                <w:rFonts w:cstheme="minorHAnsi"/>
                <w:b/>
                <w:lang w:eastAsia="ja-JP"/>
              </w:rPr>
            </w:pPr>
            <w:r w:rsidRPr="00AF3942">
              <w:rPr>
                <w:rFonts w:cstheme="minorHAnsi"/>
                <w:b/>
                <w:lang w:eastAsia="ja-JP"/>
              </w:rPr>
              <w:t>Abstract (300-500 words)</w:t>
            </w:r>
            <w:r w:rsidR="003D606A">
              <w:rPr>
                <w:rFonts w:cstheme="minorHAnsi"/>
                <w:b/>
                <w:lang w:eastAsia="ja-JP"/>
              </w:rPr>
              <w:t>:</w:t>
            </w:r>
          </w:p>
          <w:p w14:paraId="3BE5FF1A" w14:textId="19776986" w:rsidR="00816FBB" w:rsidRPr="00816FBB" w:rsidRDefault="00816FBB" w:rsidP="00244FC3">
            <w:pPr>
              <w:spacing w:before="60" w:after="60"/>
              <w:ind w:right="144"/>
              <w:jc w:val="both"/>
              <w:rPr>
                <w:rFonts w:cstheme="minorHAnsi"/>
                <w:bCs/>
                <w:iCs/>
                <w:lang w:val="en-US" w:eastAsia="ja-JP"/>
              </w:rPr>
            </w:pPr>
            <w:r w:rsidRPr="00816FBB">
              <w:rPr>
                <w:rFonts w:cstheme="minorHAnsi"/>
                <w:bCs/>
                <w:iCs/>
                <w:lang w:val="en-US" w:eastAsia="ja-JP"/>
              </w:rPr>
              <w:t>Canadian Nuclear Laboratories (CNL) proposes to develop a Near Surface Disposal Facility (NSDF) at the Chalk River Laboratories (CRL) site in Ontario, Canada</w:t>
            </w:r>
            <w:r w:rsidR="00577479">
              <w:rPr>
                <w:rFonts w:cstheme="minorHAnsi"/>
                <w:bCs/>
                <w:iCs/>
                <w:lang w:val="en-US" w:eastAsia="ja-JP"/>
              </w:rPr>
              <w:t>,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for </w:t>
            </w:r>
            <w:r>
              <w:rPr>
                <w:rFonts w:cstheme="minorHAnsi"/>
                <w:bCs/>
                <w:iCs/>
                <w:lang w:val="en-US" w:eastAsia="ja-JP"/>
              </w:rPr>
              <w:t xml:space="preserve">the 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disposal of Atomic Energy of Canada Limited (AECL) radioactive Low-Level Waste (LLW).  Safety arguments presented in several technical supporting documents were integrated into </w:t>
            </w:r>
            <w:r>
              <w:rPr>
                <w:rFonts w:cstheme="minorHAnsi"/>
                <w:bCs/>
                <w:iCs/>
                <w:lang w:val="en-US" w:eastAsia="ja-JP"/>
              </w:rPr>
              <w:t>the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Safety Case, demonstrating the operational and long-term safety of the proposed Near Surface Disposal Facility in a format that facilitates stakeholder communications.</w:t>
            </w:r>
          </w:p>
          <w:p w14:paraId="01786237" w14:textId="15180C07" w:rsidR="00816FBB" w:rsidRPr="00816FBB" w:rsidRDefault="00816FBB" w:rsidP="00244FC3">
            <w:pPr>
              <w:spacing w:before="60" w:after="60"/>
              <w:ind w:right="144"/>
              <w:jc w:val="both"/>
              <w:rPr>
                <w:rFonts w:cstheme="minorHAnsi"/>
                <w:bCs/>
                <w:iCs/>
                <w:lang w:val="en-US" w:eastAsia="ja-JP"/>
              </w:rPr>
            </w:pP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Canadian Nuclear Safety Commission (CNSC) 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 xml:space="preserve">regulatory 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requirements and International Atomic Energy Agency (IAEA) guidance for radioactive waste disposal were used to prepare the 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 xml:space="preserve">disposal facility 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Safety Case.  The NSDF Safety Case was developed during the same </w:t>
            </w:r>
            <w:r w:rsidR="00AD53CE" w:rsidRPr="00816FBB">
              <w:rPr>
                <w:rFonts w:cstheme="minorHAnsi"/>
                <w:bCs/>
                <w:iCs/>
                <w:lang w:val="en-US" w:eastAsia="ja-JP"/>
              </w:rPr>
              <w:t>period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when the CNSC 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>was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updating their regulatory documents related to 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>developing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a long-term safety case for radioactive waste disposal. </w:t>
            </w:r>
            <w:r w:rsidR="00577479">
              <w:rPr>
                <w:rFonts w:cstheme="minorHAnsi"/>
                <w:bCs/>
                <w:iCs/>
                <w:lang w:val="en-US" w:eastAsia="ja-JP"/>
              </w:rPr>
              <w:t xml:space="preserve"> 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>This</w:t>
            </w:r>
            <w:r w:rsidR="008E4778">
              <w:rPr>
                <w:rFonts w:cstheme="minorHAnsi"/>
                <w:bCs/>
                <w:iCs/>
                <w:lang w:val="en-US" w:eastAsia="ja-JP"/>
              </w:rPr>
              <w:t xml:space="preserve"> regulatory update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presented a unique challenge for CNL; to ensure that the Safety Case was comprehensive enough to meet the requirements of regulatory documents that were in a state of revision. </w:t>
            </w:r>
            <w:r w:rsidR="00BA588A">
              <w:rPr>
                <w:rFonts w:cstheme="minorHAnsi"/>
                <w:bCs/>
                <w:iCs/>
                <w:lang w:val="en-US" w:eastAsia="ja-JP"/>
              </w:rPr>
              <w:t xml:space="preserve"> 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>The NSDF Safety Case is the first document of its kind prepared to meet CNSC REGDOC-2.11.1, Volume III</w:t>
            </w:r>
            <w:r w:rsidR="00E63249">
              <w:rPr>
                <w:rFonts w:cstheme="minorHAnsi"/>
                <w:bCs/>
                <w:iCs/>
                <w:lang w:val="en-US" w:eastAsia="ja-JP"/>
              </w:rPr>
              <w:t>: Safety Case for the Disposal of Radioactive Waste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>.</w:t>
            </w:r>
          </w:p>
          <w:p w14:paraId="6709928A" w14:textId="40BEB6CC" w:rsidR="00816FBB" w:rsidRDefault="00816FBB" w:rsidP="00244FC3">
            <w:pPr>
              <w:spacing w:before="60" w:after="60"/>
              <w:ind w:right="144"/>
              <w:jc w:val="both"/>
              <w:rPr>
                <w:rFonts w:cstheme="minorHAnsi"/>
                <w:bCs/>
                <w:lang w:val="en-US" w:eastAsia="ja-JP"/>
              </w:rPr>
            </w:pP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The NSDF Safety Case 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>is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structured to align with IAEA guidance</w:t>
            </w:r>
            <w:r w:rsidR="008E4778">
              <w:rPr>
                <w:rFonts w:cstheme="minorHAnsi"/>
                <w:bCs/>
                <w:iCs/>
                <w:lang w:val="en-US" w:eastAsia="ja-JP"/>
              </w:rPr>
              <w:t xml:space="preserve">, </w:t>
            </w:r>
            <w:r w:rsidR="00BC1F12">
              <w:rPr>
                <w:rFonts w:cstheme="minorHAnsi"/>
                <w:bCs/>
                <w:iCs/>
                <w:lang w:val="en-US" w:eastAsia="ja-JP"/>
              </w:rPr>
              <w:t>includ</w:t>
            </w:r>
            <w:r w:rsidR="008E4778">
              <w:rPr>
                <w:rFonts w:cstheme="minorHAnsi"/>
                <w:bCs/>
                <w:iCs/>
                <w:lang w:val="en-US" w:eastAsia="ja-JP"/>
              </w:rPr>
              <w:t>ing</w:t>
            </w:r>
            <w:r w:rsidRPr="00816FBB">
              <w:rPr>
                <w:rFonts w:cstheme="minorHAnsi"/>
                <w:bCs/>
                <w:iCs/>
                <w:lang w:val="en-US" w:eastAsia="ja-JP"/>
              </w:rPr>
              <w:t xml:space="preserve"> sections discussing the introduction, safety strategy, system description, safety assessment, iteration and design optimization, management of uncertainties, limits</w:t>
            </w:r>
            <w:r w:rsidR="00AD53CE">
              <w:rPr>
                <w:rFonts w:cstheme="minorHAnsi"/>
                <w:bCs/>
                <w:iCs/>
                <w:lang w:val="en-US" w:eastAsia="ja-JP"/>
              </w:rPr>
              <w:t xml:space="preserve">, </w:t>
            </w:r>
            <w:r w:rsidR="00AD53CE" w:rsidRPr="00AD53CE">
              <w:rPr>
                <w:rFonts w:cstheme="minorHAnsi"/>
                <w:bCs/>
                <w:lang w:val="en-US" w:eastAsia="ja-JP"/>
              </w:rPr>
              <w:t>controls and conditions, integration of safety arguments, and the management system</w:t>
            </w:r>
            <w:r w:rsidR="00AD53CE">
              <w:rPr>
                <w:rFonts w:cstheme="minorHAnsi"/>
                <w:bCs/>
                <w:lang w:val="en-US" w:eastAsia="ja-JP"/>
              </w:rPr>
              <w:t>.</w:t>
            </w:r>
          </w:p>
          <w:p w14:paraId="66CD3E09" w14:textId="1A271896" w:rsidR="00BC1F12" w:rsidRPr="00BC1F12" w:rsidRDefault="00BC1F12" w:rsidP="00244FC3">
            <w:pPr>
              <w:spacing w:before="60" w:after="60"/>
              <w:ind w:right="144"/>
              <w:jc w:val="both"/>
              <w:rPr>
                <w:rFonts w:cstheme="minorHAnsi"/>
                <w:bCs/>
                <w:iCs/>
                <w:lang w:val="en-US" w:eastAsia="ja-JP"/>
              </w:rPr>
            </w:pPr>
            <w:r w:rsidRPr="00BC1F12">
              <w:rPr>
                <w:rFonts w:cstheme="minorHAnsi"/>
                <w:bCs/>
                <w:iCs/>
                <w:lang w:val="en-US" w:eastAsia="ja-JP"/>
              </w:rPr>
              <w:t xml:space="preserve">Feedback from Independent Third-Party </w:t>
            </w:r>
            <w:r>
              <w:rPr>
                <w:rFonts w:cstheme="minorHAnsi"/>
                <w:bCs/>
                <w:iCs/>
                <w:lang w:val="en-US" w:eastAsia="ja-JP"/>
              </w:rPr>
              <w:t>r</w:t>
            </w:r>
            <w:r w:rsidRPr="00BC1F12">
              <w:rPr>
                <w:rFonts w:cstheme="minorHAnsi"/>
                <w:bCs/>
                <w:iCs/>
                <w:lang w:val="en-US" w:eastAsia="ja-JP"/>
              </w:rPr>
              <w:t xml:space="preserve">eviews was incorporated into the </w:t>
            </w:r>
            <w:r>
              <w:rPr>
                <w:rFonts w:cstheme="minorHAnsi"/>
                <w:bCs/>
                <w:iCs/>
                <w:lang w:val="en-US" w:eastAsia="ja-JP"/>
              </w:rPr>
              <w:t>NSDF Safety Case</w:t>
            </w:r>
            <w:r w:rsidRPr="00BC1F12">
              <w:rPr>
                <w:rFonts w:cstheme="minorHAnsi"/>
                <w:bCs/>
                <w:iCs/>
                <w:lang w:val="en-US" w:eastAsia="ja-JP"/>
              </w:rPr>
              <w:t xml:space="preserve">.  Valuable feedback from the public and Indigenous communities was used to develop targeted </w:t>
            </w:r>
            <w:r w:rsidR="008E4778">
              <w:rPr>
                <w:rFonts w:cstheme="minorHAnsi"/>
                <w:bCs/>
                <w:iCs/>
                <w:lang w:val="en-US" w:eastAsia="ja-JP"/>
              </w:rPr>
              <w:br/>
            </w:r>
            <w:r w:rsidRPr="00BC1F12">
              <w:rPr>
                <w:rFonts w:cstheme="minorHAnsi"/>
                <w:bCs/>
                <w:iCs/>
                <w:lang w:val="en-US" w:eastAsia="ja-JP"/>
              </w:rPr>
              <w:t>safety arguments addressing their key concerns.</w:t>
            </w:r>
          </w:p>
          <w:p w14:paraId="223465C2" w14:textId="6BE9BB48" w:rsidR="00AD53CE" w:rsidRPr="00AF3942" w:rsidRDefault="00E63249" w:rsidP="00605721">
            <w:pPr>
              <w:spacing w:before="60" w:after="60"/>
              <w:ind w:right="144"/>
              <w:jc w:val="both"/>
              <w:rPr>
                <w:rFonts w:cstheme="minorHAnsi"/>
                <w:b/>
                <w:lang w:eastAsia="ja-JP"/>
              </w:rPr>
            </w:pPr>
            <w:r>
              <w:rPr>
                <w:rFonts w:cstheme="minorHAnsi"/>
                <w:bCs/>
                <w:lang w:val="en-US" w:eastAsia="ja-JP"/>
              </w:rPr>
              <w:t xml:space="preserve">The NSDF Safety Case summarizes and integrates the results </w:t>
            </w:r>
            <w:r w:rsidR="00C8554F">
              <w:rPr>
                <w:rFonts w:cstheme="minorHAnsi"/>
                <w:bCs/>
                <w:lang w:val="en-US" w:eastAsia="ja-JP"/>
              </w:rPr>
              <w:t>of</w:t>
            </w:r>
            <w:r>
              <w:rPr>
                <w:rFonts w:cstheme="minorHAnsi"/>
                <w:bCs/>
                <w:lang w:val="en-US" w:eastAsia="ja-JP"/>
              </w:rPr>
              <w:t xml:space="preserve"> the pre-closure and the post-closure safety</w:t>
            </w:r>
            <w:r w:rsidR="00C8554F">
              <w:rPr>
                <w:rFonts w:cstheme="minorHAnsi"/>
                <w:bCs/>
                <w:lang w:val="en-US" w:eastAsia="ja-JP"/>
              </w:rPr>
              <w:t xml:space="preserve"> assessments</w:t>
            </w:r>
            <w:r>
              <w:rPr>
                <w:rFonts w:cstheme="minorHAnsi"/>
                <w:bCs/>
                <w:lang w:val="en-US" w:eastAsia="ja-JP"/>
              </w:rPr>
              <w:t xml:space="preserve">. </w:t>
            </w:r>
            <w:r w:rsidR="00BA588A">
              <w:rPr>
                <w:rFonts w:cstheme="minorHAnsi"/>
                <w:bCs/>
                <w:lang w:val="en-US" w:eastAsia="ja-JP"/>
              </w:rPr>
              <w:t xml:space="preserve"> </w:t>
            </w:r>
            <w:r w:rsidR="00AD53CE">
              <w:rPr>
                <w:rFonts w:cstheme="minorHAnsi"/>
                <w:bCs/>
                <w:lang w:val="en-US" w:eastAsia="ja-JP"/>
              </w:rPr>
              <w:t>The NSDF Safety Case was developed to support the Licence to Construct submission, and in January 2024, CNL received authorization for the construction of the NSDF.</w:t>
            </w:r>
          </w:p>
        </w:tc>
      </w:tr>
    </w:tbl>
    <w:p w14:paraId="58F8B286" w14:textId="77777777" w:rsidR="00ED483F" w:rsidRPr="00AF3942" w:rsidRDefault="00ED483F" w:rsidP="00C60BC5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AF3942" w:rsidSect="0024518F">
      <w:headerReference w:type="even" r:id="rId13"/>
      <w:headerReference w:type="default" r:id="rId14"/>
      <w:head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2EFA3" w14:textId="77777777" w:rsidR="001F67D8" w:rsidRDefault="001F67D8" w:rsidP="00AF3942">
      <w:pPr>
        <w:spacing w:after="0" w:line="240" w:lineRule="auto"/>
      </w:pPr>
      <w:r>
        <w:separator/>
      </w:r>
    </w:p>
  </w:endnote>
  <w:endnote w:type="continuationSeparator" w:id="0">
    <w:p w14:paraId="0D18FE63" w14:textId="77777777" w:rsidR="001F67D8" w:rsidRDefault="001F67D8" w:rsidP="00AF3942">
      <w:pPr>
        <w:spacing w:after="0" w:line="240" w:lineRule="auto"/>
      </w:pPr>
      <w:r>
        <w:continuationSeparator/>
      </w:r>
    </w:p>
  </w:endnote>
  <w:endnote w:type="continuationNotice" w:id="1">
    <w:p w14:paraId="48213927" w14:textId="77777777" w:rsidR="001F67D8" w:rsidRDefault="001F67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EC0A9" w14:textId="77777777" w:rsidR="001F67D8" w:rsidRDefault="001F67D8" w:rsidP="00AF3942">
      <w:pPr>
        <w:spacing w:after="0" w:line="240" w:lineRule="auto"/>
      </w:pPr>
      <w:r>
        <w:separator/>
      </w:r>
    </w:p>
  </w:footnote>
  <w:footnote w:type="continuationSeparator" w:id="0">
    <w:p w14:paraId="71F84EF3" w14:textId="77777777" w:rsidR="001F67D8" w:rsidRDefault="001F67D8" w:rsidP="00AF3942">
      <w:pPr>
        <w:spacing w:after="0" w:line="240" w:lineRule="auto"/>
      </w:pPr>
      <w:r>
        <w:continuationSeparator/>
      </w:r>
    </w:p>
  </w:footnote>
  <w:footnote w:type="continuationNotice" w:id="1">
    <w:p w14:paraId="4EADDF36" w14:textId="77777777" w:rsidR="001F67D8" w:rsidRDefault="001F67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E0C3C" w14:textId="25A46B5C" w:rsidR="00C9454B" w:rsidRDefault="00C9454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FB7633E" wp14:editId="6D74E11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585058126" name="Textfeld 585058126" descr="OFFICIAL USE ONLY / À USAGE EXCLUSIF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566AF7" w14:textId="645251C8" w:rsidR="00C9454B" w:rsidRPr="00C9454B" w:rsidRDefault="00C9454B" w:rsidP="00C945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945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 USE ONLY / À USAGE EXCLUSIF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B7633E" id="_x0000_t202" coordsize="21600,21600" o:spt="202" path="m,l,21600r21600,l21600,xe">
              <v:stroke joinstyle="miter"/>
              <v:path gradientshapeok="t" o:connecttype="rect"/>
            </v:shapetype>
            <v:shape id="Textfeld 585058126" o:spid="_x0000_s1026" type="#_x0000_t202" alt="OFFICIAL USE ONLY / À USAGE EXCLUSIF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E566AF7" w14:textId="645251C8" w:rsidR="00C9454B" w:rsidRPr="00C9454B" w:rsidRDefault="00C9454B" w:rsidP="00C9454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9454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 USE ONLY / À USAGE EXCLUSIF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4F260" w14:textId="6B78E471" w:rsidR="00C9454B" w:rsidRDefault="00C9454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7E0B77E" wp14:editId="12428061">
              <wp:simplePos x="914400" y="453542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1925090322" name="Textfeld 1925090322" descr="OFFICIAL USE ONLY / À USAGE EXCLUSIF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6E77D1" w14:textId="23F7693D" w:rsidR="00C9454B" w:rsidRPr="00C9454B" w:rsidRDefault="00C9454B" w:rsidP="00C945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945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 USE ONLY / À USAGE EXCLUSIF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E0B77E" id="_x0000_t202" coordsize="21600,21600" o:spt="202" path="m,l,21600r21600,l21600,xe">
              <v:stroke joinstyle="miter"/>
              <v:path gradientshapeok="t" o:connecttype="rect"/>
            </v:shapetype>
            <v:shape id="Textfeld 1925090322" o:spid="_x0000_s1027" type="#_x0000_t202" alt="OFFICIAL USE ONLY / À USAGE EXCLUSIF" style="position:absolute;margin-left:-16.25pt;margin-top:0;width:34.95pt;height:34.95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76E77D1" w14:textId="23F7693D" w:rsidR="00C9454B" w:rsidRPr="00C9454B" w:rsidRDefault="00C9454B" w:rsidP="00C9454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9454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 USE ONLY / À USAGE EXCLUSIF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E9231" w14:textId="0888789F" w:rsidR="00C9454B" w:rsidRDefault="00C9454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882F7E" wp14:editId="2A3A59F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805221783" name="Textfeld 805221783" descr="OFFICIAL USE ONLY / À USAGE EXCLUSIF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375BA9" w14:textId="74C45375" w:rsidR="00C9454B" w:rsidRPr="00C9454B" w:rsidRDefault="00C9454B" w:rsidP="00C945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945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 USE ONLY / À USAGE EXCLUSIF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882F7E" id="_x0000_t202" coordsize="21600,21600" o:spt="202" path="m,l,21600r21600,l21600,xe">
              <v:stroke joinstyle="miter"/>
              <v:path gradientshapeok="t" o:connecttype="rect"/>
            </v:shapetype>
            <v:shape id="Textfeld 805221783" o:spid="_x0000_s1028" type="#_x0000_t202" alt="OFFICIAL USE ONLY / À USAGE EXCLUSIF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6375BA9" w14:textId="74C45375" w:rsidR="00C9454B" w:rsidRPr="00C9454B" w:rsidRDefault="00C9454B" w:rsidP="00C9454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9454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 USE ONLY / À USAGE EXCLUSIF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23106">
    <w:abstractNumId w:val="1"/>
  </w:num>
  <w:num w:numId="2" w16cid:durableId="1642611538">
    <w:abstractNumId w:val="0"/>
  </w:num>
  <w:num w:numId="3" w16cid:durableId="1121025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UyMTAyNbIwsTA2MjRQ0lEKTi0uzszPAykwrgUAyEUO7ywAAAA="/>
  </w:docVars>
  <w:rsids>
    <w:rsidRoot w:val="00ED483F"/>
    <w:rsid w:val="00006677"/>
    <w:rsid w:val="000B2B55"/>
    <w:rsid w:val="001215B8"/>
    <w:rsid w:val="001F67D8"/>
    <w:rsid w:val="00244FC3"/>
    <w:rsid w:val="0024518F"/>
    <w:rsid w:val="00285532"/>
    <w:rsid w:val="002C48DA"/>
    <w:rsid w:val="002C6648"/>
    <w:rsid w:val="00374C4F"/>
    <w:rsid w:val="003D606A"/>
    <w:rsid w:val="00426FC1"/>
    <w:rsid w:val="00474AF1"/>
    <w:rsid w:val="005208E7"/>
    <w:rsid w:val="00577479"/>
    <w:rsid w:val="005C7E35"/>
    <w:rsid w:val="00605721"/>
    <w:rsid w:val="00607777"/>
    <w:rsid w:val="0064631F"/>
    <w:rsid w:val="0067177D"/>
    <w:rsid w:val="007068DB"/>
    <w:rsid w:val="0077682E"/>
    <w:rsid w:val="00816FBB"/>
    <w:rsid w:val="008E4778"/>
    <w:rsid w:val="009249FD"/>
    <w:rsid w:val="009749C7"/>
    <w:rsid w:val="00982F88"/>
    <w:rsid w:val="009C3C04"/>
    <w:rsid w:val="009D78C7"/>
    <w:rsid w:val="00A3535E"/>
    <w:rsid w:val="00AD53CE"/>
    <w:rsid w:val="00AF3942"/>
    <w:rsid w:val="00B22E8F"/>
    <w:rsid w:val="00B302FA"/>
    <w:rsid w:val="00B66A8E"/>
    <w:rsid w:val="00BA588A"/>
    <w:rsid w:val="00BC1F12"/>
    <w:rsid w:val="00BF6429"/>
    <w:rsid w:val="00C60BC5"/>
    <w:rsid w:val="00C8554F"/>
    <w:rsid w:val="00C9454B"/>
    <w:rsid w:val="00CD027D"/>
    <w:rsid w:val="00CD5585"/>
    <w:rsid w:val="00D54959"/>
    <w:rsid w:val="00DB6830"/>
    <w:rsid w:val="00E63249"/>
    <w:rsid w:val="00EA060E"/>
    <w:rsid w:val="00ED483F"/>
    <w:rsid w:val="1358593B"/>
    <w:rsid w:val="2989B7D2"/>
    <w:rsid w:val="6A4D4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787E58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94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54B"/>
  </w:style>
  <w:style w:type="character" w:styleId="CommentReference">
    <w:name w:val="annotation reference"/>
    <w:basedOn w:val="DefaultParagraphFont"/>
    <w:uiPriority w:val="99"/>
    <w:semiHidden/>
    <w:unhideWhenUsed/>
    <w:rsid w:val="00474A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4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4A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AF1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06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68DB"/>
  </w:style>
  <w:style w:type="character" w:styleId="Hyperlink">
    <w:name w:val="Hyperlink"/>
    <w:basedOn w:val="DefaultParagraphFont"/>
    <w:uiPriority w:val="99"/>
    <w:unhideWhenUsed/>
    <w:rsid w:val="00244FC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4F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chael.labriola@cnl.c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bert.kingsbury@cnl.ca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397871-5C7D-4F97-92DF-84C9FF4B25B6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947f5427-ef21-4d0b-b5d2-e3eadf686f4e"/>
  </ds:schemaRefs>
</ds:datastoreItem>
</file>

<file path=customXml/itemProps2.xml><?xml version="1.0" encoding="utf-8"?>
<ds:datastoreItem xmlns:ds="http://schemas.openxmlformats.org/officeDocument/2006/customXml" ds:itemID="{B04EB301-587C-445D-90CC-C0DA1F27AA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C3FB37-39A1-44B3-BA90-9A5F56974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03B091-8C4A-436D-8FD8-2662CCC833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362</Words>
  <Characters>2351</Characters>
  <Application>Microsoft Office Word</Application>
  <DocSecurity>0</DocSecurity>
  <Lines>47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_final_final_final</dc:title>
  <dc:creator>KWONG Gloria, NEA/PR</dc:creator>
  <cp:lastModifiedBy>LI Zhuoran, NEA/RWMD</cp:lastModifiedBy>
  <cp:revision>11</cp:revision>
  <cp:lastPrinted>2024-04-10T11:30:00Z</cp:lastPrinted>
  <dcterms:created xsi:type="dcterms:W3CDTF">2024-04-23T12:24:00Z</dcterms:created>
  <dcterms:modified xsi:type="dcterms:W3CDTF">2024-08-02T14:42:00Z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13454d15379e8c88a0ed725e3aa6532001d8eb03b52de36e33e65cb9bd3fa2c1</vt:lpwstr>
  </property>
  <property fmtid="{D5CDD505-2E9C-101B-9397-08002B2CF9AE}" pid="3" name="ClassificationContentMarkingHeaderShapeIds">
    <vt:lpwstr>2ffeb597,22df474e,72be8c12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 USE ONLY / À USAGE EXCLUSIF</vt:lpwstr>
  </property>
  <property fmtid="{D5CDD505-2E9C-101B-9397-08002B2CF9AE}" pid="6" name="MSIP_Label_047d1604-a11e-4c33-b65a-00a6c0f6fd4a_Enabled">
    <vt:lpwstr>true</vt:lpwstr>
  </property>
  <property fmtid="{D5CDD505-2E9C-101B-9397-08002B2CF9AE}" pid="7" name="MSIP_Label_047d1604-a11e-4c33-b65a-00a6c0f6fd4a_SetDate">
    <vt:lpwstr>2024-03-13T12:49:57Z</vt:lpwstr>
  </property>
  <property fmtid="{D5CDD505-2E9C-101B-9397-08002B2CF9AE}" pid="8" name="MSIP_Label_047d1604-a11e-4c33-b65a-00a6c0f6fd4a_Method">
    <vt:lpwstr>Privileged</vt:lpwstr>
  </property>
  <property fmtid="{D5CDD505-2E9C-101B-9397-08002B2CF9AE}" pid="9" name="MSIP_Label_047d1604-a11e-4c33-b65a-00a6c0f6fd4a_Name">
    <vt:lpwstr>OFFICIAL USE ONLY</vt:lpwstr>
  </property>
  <property fmtid="{D5CDD505-2E9C-101B-9397-08002B2CF9AE}" pid="10" name="MSIP_Label_047d1604-a11e-4c33-b65a-00a6c0f6fd4a_SiteId">
    <vt:lpwstr>a483a0b6-671f-4e86-a04d-998385c0e199</vt:lpwstr>
  </property>
  <property fmtid="{D5CDD505-2E9C-101B-9397-08002B2CF9AE}" pid="11" name="MSIP_Label_047d1604-a11e-4c33-b65a-00a6c0f6fd4a_ActionId">
    <vt:lpwstr>210d14f6-2902-4f73-85b3-755e05bd0a9f</vt:lpwstr>
  </property>
  <property fmtid="{D5CDD505-2E9C-101B-9397-08002B2CF9AE}" pid="12" name="MSIP_Label_047d1604-a11e-4c33-b65a-00a6c0f6fd4a_ContentBits">
    <vt:lpwstr>1</vt:lpwstr>
  </property>
  <property fmtid="{D5CDD505-2E9C-101B-9397-08002B2CF9AE}" pid="13" name="ContentTypeId">
    <vt:lpwstr>0x01010002FAEBA6069C9F458C0085404E0C5FFE</vt:lpwstr>
  </property>
</Properties>
</file>