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C7F9" w14:textId="77777777" w:rsidR="00285532" w:rsidRPr="00285532" w:rsidRDefault="25561F91" w:rsidP="25561F91">
      <w:pPr>
        <w:shd w:val="clear" w:color="auto" w:fill="FFFFFF" w:themeFill="background1"/>
        <w:spacing w:after="120"/>
        <w:jc w:val="center"/>
        <w:rPr>
          <w:b/>
          <w:bCs/>
          <w:color w:val="116AAF"/>
        </w:rPr>
      </w:pPr>
      <w:r w:rsidRPr="25561F91">
        <w:rPr>
          <w:b/>
          <w:bCs/>
          <w:color w:val="116AAF"/>
          <w:sz w:val="32"/>
          <w:szCs w:val="32"/>
        </w:rPr>
        <w:t>Integration Group for the Safety Case (IGSC) Symposium 2024</w:t>
      </w:r>
      <w:r w:rsidR="00285532">
        <w:br/>
      </w:r>
      <w:r w:rsidRPr="25561F91">
        <w:rPr>
          <w:i/>
          <w:iCs/>
          <w:color w:val="116AAF"/>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11"/>
        <w:gridCol w:w="4505"/>
      </w:tblGrid>
      <w:tr w:rsidR="00ED483F" w:rsidRPr="00AF3942" w14:paraId="0F2720A1" w14:textId="77777777" w:rsidTr="001A0356">
        <w:tc>
          <w:tcPr>
            <w:tcW w:w="4511" w:type="dxa"/>
          </w:tcPr>
          <w:p w14:paraId="49CAC052" w14:textId="3CBA30E3" w:rsidR="00ED483F" w:rsidRPr="00AF3942" w:rsidRDefault="25561F91" w:rsidP="25561F91">
            <w:pPr>
              <w:spacing w:before="60" w:after="60"/>
              <w:ind w:right="-187"/>
              <w:rPr>
                <w:b/>
                <w:bCs/>
              </w:rPr>
            </w:pPr>
            <w:r w:rsidRPr="25561F91">
              <w:rPr>
                <w:b/>
                <w:bCs/>
              </w:rPr>
              <w:t>Abstract Number</w:t>
            </w:r>
            <w:r w:rsidRPr="25561F91">
              <w:rPr>
                <w:b/>
                <w:bCs/>
                <w:lang w:eastAsia="ja-JP"/>
              </w:rPr>
              <w:t xml:space="preserve">:  </w:t>
            </w:r>
            <w:r w:rsidR="00424D07">
              <w:rPr>
                <w:b/>
                <w:bCs/>
                <w:lang w:eastAsia="ja-JP"/>
              </w:rPr>
              <w:t>18</w:t>
            </w:r>
            <w:r w:rsidRPr="25561F91">
              <w:rPr>
                <w:b/>
                <w:bCs/>
              </w:rPr>
              <w:t xml:space="preserve">       </w:t>
            </w:r>
            <w:r w:rsidRPr="25561F91">
              <w:rPr>
                <w:noProof/>
              </w:rPr>
              <w:t> </w:t>
            </w:r>
            <w:r w:rsidRPr="25561F91">
              <w:rPr>
                <w:noProof/>
              </w:rPr>
              <w:t> </w:t>
            </w:r>
            <w:r w:rsidRPr="25561F91">
              <w:rPr>
                <w:noProof/>
              </w:rPr>
              <w:t> </w:t>
            </w:r>
            <w:r w:rsidRPr="25561F91">
              <w:rPr>
                <w:noProof/>
              </w:rPr>
              <w:t> </w:t>
            </w:r>
            <w:r w:rsidRPr="25561F91">
              <w:rPr>
                <w:noProof/>
              </w:rPr>
              <w:t> </w:t>
            </w:r>
            <w:r w:rsidRPr="25561F91">
              <w:rPr>
                <w:noProof/>
              </w:rPr>
              <w:t> </w:t>
            </w:r>
            <w:r w:rsidRPr="25561F91">
              <w:rPr>
                <w:noProof/>
              </w:rPr>
              <w:t> </w:t>
            </w:r>
            <w:r w:rsidRPr="25561F91">
              <w:rPr>
                <w:noProof/>
              </w:rPr>
              <w:t> </w:t>
            </w:r>
            <w:r w:rsidRPr="25561F91">
              <w:rPr>
                <w:noProof/>
              </w:rPr>
              <w:t> </w:t>
            </w:r>
          </w:p>
        </w:tc>
        <w:tc>
          <w:tcPr>
            <w:tcW w:w="4505" w:type="dxa"/>
          </w:tcPr>
          <w:p w14:paraId="0240E894" w14:textId="0DE2FA04" w:rsidR="00ED483F" w:rsidRPr="007A5806" w:rsidRDefault="00062BB5" w:rsidP="25561F91">
            <w:pPr>
              <w:spacing w:before="60" w:after="60"/>
              <w:ind w:right="-187"/>
              <w:rPr>
                <w:b/>
                <w:bCs/>
                <w:lang w:eastAsia="zh-CN"/>
              </w:rPr>
            </w:pPr>
            <w:r>
              <w:rPr>
                <w:b/>
                <w:bCs/>
                <w:lang w:eastAsia="ja-JP"/>
              </w:rPr>
              <w:t>Session 8.</w:t>
            </w:r>
            <w:r w:rsidR="007A5806">
              <w:rPr>
                <w:rFonts w:hint="eastAsia"/>
                <w:b/>
                <w:bCs/>
                <w:lang w:eastAsia="zh-CN"/>
              </w:rPr>
              <w:t>3</w:t>
            </w:r>
          </w:p>
        </w:tc>
      </w:tr>
      <w:tr w:rsidR="00ED483F" w:rsidRPr="00253937" w14:paraId="1BD80930" w14:textId="77777777" w:rsidTr="001A0356">
        <w:trPr>
          <w:trHeight w:val="461"/>
        </w:trPr>
        <w:tc>
          <w:tcPr>
            <w:tcW w:w="9016" w:type="dxa"/>
            <w:gridSpan w:val="2"/>
          </w:tcPr>
          <w:p w14:paraId="6B1B7011" w14:textId="051A2911" w:rsidR="00C60BC5" w:rsidRPr="004E14D9" w:rsidRDefault="25561F91" w:rsidP="25561F91">
            <w:pPr>
              <w:spacing w:before="60" w:after="60"/>
              <w:ind w:right="-187"/>
              <w:rPr>
                <w:b/>
                <w:bCs/>
                <w:lang w:val="en-US" w:eastAsia="ja-JP"/>
              </w:rPr>
            </w:pPr>
            <w:r w:rsidRPr="25561F91">
              <w:rPr>
                <w:b/>
                <w:bCs/>
                <w:lang w:val="en-US"/>
              </w:rPr>
              <w:t>Author</w:t>
            </w:r>
            <w:r w:rsidR="005C4320">
              <w:rPr>
                <w:b/>
                <w:bCs/>
                <w:lang w:val="en-US"/>
              </w:rPr>
              <w:t>s</w:t>
            </w:r>
            <w:r w:rsidRPr="25561F91">
              <w:rPr>
                <w:b/>
                <w:bCs/>
                <w:lang w:val="en-US" w:eastAsia="ja-JP"/>
              </w:rPr>
              <w:t>:</w:t>
            </w:r>
          </w:p>
          <w:p w14:paraId="16A73A22" w14:textId="62CA87B4" w:rsidR="00AF3942" w:rsidRPr="00463DC7" w:rsidRDefault="25561F91" w:rsidP="25561F91">
            <w:pPr>
              <w:spacing w:before="60" w:after="60"/>
              <w:ind w:right="-187"/>
              <w:rPr>
                <w:lang w:val="en-US" w:eastAsia="ja-JP"/>
              </w:rPr>
            </w:pPr>
            <w:r w:rsidRPr="00463DC7">
              <w:rPr>
                <w:lang w:val="en-US" w:eastAsia="ja-JP"/>
              </w:rPr>
              <w:t xml:space="preserve">P. </w:t>
            </w:r>
            <w:proofErr w:type="gramStart"/>
            <w:r w:rsidRPr="00463DC7">
              <w:rPr>
                <w:lang w:val="en-US" w:eastAsia="ja-JP"/>
              </w:rPr>
              <w:t>Hunkeler</w:t>
            </w:r>
            <w:r w:rsidR="008628C7" w:rsidRPr="00463DC7">
              <w:rPr>
                <w:vertAlign w:val="superscript"/>
                <w:lang w:val="en-US" w:eastAsia="ja-JP"/>
              </w:rPr>
              <w:t>(</w:t>
            </w:r>
            <w:proofErr w:type="gramEnd"/>
            <w:r w:rsidR="008628C7" w:rsidRPr="00463DC7">
              <w:rPr>
                <w:vertAlign w:val="superscript"/>
                <w:lang w:val="en-US" w:eastAsia="ja-JP"/>
              </w:rPr>
              <w:t>1)</w:t>
            </w:r>
            <w:r w:rsidRPr="00463DC7">
              <w:rPr>
                <w:lang w:val="en-US" w:eastAsia="ja-JP"/>
              </w:rPr>
              <w:t xml:space="preserve">, </w:t>
            </w:r>
            <w:r w:rsidRPr="00253937">
              <w:rPr>
                <w:b/>
                <w:bCs/>
                <w:lang w:val="en-US" w:eastAsia="ja-JP"/>
              </w:rPr>
              <w:t>Th. U. Kaempfer</w:t>
            </w:r>
            <w:r w:rsidR="008628C7" w:rsidRPr="005E4E80">
              <w:rPr>
                <w:vertAlign w:val="superscript"/>
                <w:lang w:val="en-US" w:eastAsia="ja-JP"/>
              </w:rPr>
              <w:t>(2)</w:t>
            </w:r>
            <w:r w:rsidRPr="00463DC7">
              <w:rPr>
                <w:lang w:val="en-US" w:eastAsia="ja-JP"/>
              </w:rPr>
              <w:t xml:space="preserve">, O. </w:t>
            </w:r>
            <w:proofErr w:type="spellStart"/>
            <w:r w:rsidRPr="00463DC7">
              <w:rPr>
                <w:lang w:val="en-US" w:eastAsia="ja-JP"/>
              </w:rPr>
              <w:t>Leupin</w:t>
            </w:r>
            <w:proofErr w:type="spellEnd"/>
            <w:r w:rsidR="008628C7" w:rsidRPr="00463DC7">
              <w:rPr>
                <w:vertAlign w:val="superscript"/>
                <w:lang w:val="en-US" w:eastAsia="ja-JP"/>
              </w:rPr>
              <w:t>(1)</w:t>
            </w:r>
            <w:r w:rsidRPr="00463DC7">
              <w:rPr>
                <w:lang w:val="en-US" w:eastAsia="ja-JP"/>
              </w:rPr>
              <w:t>, P. Smith</w:t>
            </w:r>
            <w:r w:rsidR="008628C7" w:rsidRPr="00463DC7">
              <w:rPr>
                <w:vertAlign w:val="superscript"/>
                <w:lang w:val="en-US" w:eastAsia="ja-JP"/>
              </w:rPr>
              <w:t>(2)</w:t>
            </w:r>
          </w:p>
          <w:p w14:paraId="3320BD00" w14:textId="767EDAB4" w:rsidR="008628C7" w:rsidRDefault="008628C7" w:rsidP="25561F91">
            <w:pPr>
              <w:spacing w:before="60" w:after="60"/>
              <w:ind w:right="-187"/>
              <w:rPr>
                <w:lang w:val="en-US" w:eastAsia="ja-JP"/>
              </w:rPr>
            </w:pPr>
            <w:r w:rsidRPr="00253937">
              <w:rPr>
                <w:b/>
                <w:bCs/>
                <w:vertAlign w:val="superscript"/>
                <w:lang w:val="en-US" w:eastAsia="ja-JP"/>
              </w:rPr>
              <w:t>(1</w:t>
            </w:r>
            <w:r w:rsidRPr="00253937">
              <w:rPr>
                <w:vertAlign w:val="superscript"/>
                <w:lang w:val="en-US" w:eastAsia="ja-JP"/>
              </w:rPr>
              <w:t>)</w:t>
            </w:r>
            <w:r w:rsidR="005B687E">
              <w:rPr>
                <w:vertAlign w:val="superscript"/>
                <w:lang w:val="en-US" w:eastAsia="ja-JP"/>
              </w:rPr>
              <w:t xml:space="preserve"> </w:t>
            </w:r>
            <w:r w:rsidR="00253937" w:rsidRPr="00253937">
              <w:rPr>
                <w:lang w:val="en-US" w:eastAsia="ja-JP"/>
              </w:rPr>
              <w:t>Nagra, Swiss Co</w:t>
            </w:r>
            <w:r w:rsidR="00253937">
              <w:rPr>
                <w:lang w:val="en-US" w:eastAsia="ja-JP"/>
              </w:rPr>
              <w:t>operative for the disposal of radioactive waste</w:t>
            </w:r>
            <w:r w:rsidR="00463DC7">
              <w:rPr>
                <w:lang w:val="en-US" w:eastAsia="ja-JP"/>
              </w:rPr>
              <w:t>, Switzerland</w:t>
            </w:r>
          </w:p>
          <w:p w14:paraId="259977B6" w14:textId="108E6556" w:rsidR="00463DC7" w:rsidRDefault="00463DC7" w:rsidP="25561F91">
            <w:pPr>
              <w:spacing w:before="60" w:after="60"/>
              <w:ind w:right="-187"/>
              <w:rPr>
                <w:rFonts w:ascii="Arial" w:eastAsiaTheme="minorEastAsia" w:hAnsi="Arial" w:cs="Arial"/>
                <w:noProof/>
                <w:sz w:val="20"/>
                <w:szCs w:val="20"/>
                <w:lang w:val="en-US" w:eastAsia="de-CH"/>
              </w:rPr>
            </w:pPr>
            <w:r w:rsidRPr="005B687E">
              <w:rPr>
                <w:vertAlign w:val="superscript"/>
                <w:lang w:val="en-US" w:eastAsia="ja-JP"/>
              </w:rPr>
              <w:t>(2)</w:t>
            </w:r>
            <w:r w:rsidR="005B687E">
              <w:rPr>
                <w:vertAlign w:val="superscript"/>
                <w:lang w:val="en-US" w:eastAsia="ja-JP"/>
              </w:rPr>
              <w:t xml:space="preserve"> </w:t>
            </w:r>
            <w:r w:rsidRPr="005B687E">
              <w:rPr>
                <w:lang w:val="en-US" w:eastAsia="ja-JP"/>
              </w:rPr>
              <w:t xml:space="preserve">OST </w:t>
            </w:r>
            <w:r w:rsidR="005B687E">
              <w:rPr>
                <w:rFonts w:ascii="Arial" w:eastAsiaTheme="minorEastAsia" w:hAnsi="Arial" w:cs="Arial"/>
                <w:noProof/>
                <w:sz w:val="20"/>
                <w:szCs w:val="20"/>
                <w:lang w:val="en-US" w:eastAsia="de-CH"/>
              </w:rPr>
              <w:t xml:space="preserve">Eastern Switzerland University of Applied Sciences, Switzerland, </w:t>
            </w:r>
            <w:hyperlink r:id="rId11" w:history="1">
              <w:r w:rsidR="005B687E" w:rsidRPr="00290A0C">
                <w:rPr>
                  <w:rStyle w:val="Hyperlink"/>
                  <w:rFonts w:ascii="Arial" w:eastAsiaTheme="minorEastAsia" w:hAnsi="Arial" w:cs="Arial"/>
                  <w:noProof/>
                  <w:sz w:val="20"/>
                  <w:szCs w:val="20"/>
                  <w:lang w:val="en-US" w:eastAsia="de-CH"/>
                </w:rPr>
                <w:t>thomas.kaempfer@ost.ch</w:t>
              </w:r>
            </w:hyperlink>
            <w:r w:rsidR="005B687E">
              <w:rPr>
                <w:rFonts w:ascii="Arial" w:eastAsiaTheme="minorEastAsia" w:hAnsi="Arial" w:cs="Arial"/>
                <w:noProof/>
                <w:sz w:val="20"/>
                <w:szCs w:val="20"/>
                <w:lang w:val="en-US" w:eastAsia="de-CH"/>
              </w:rPr>
              <w:t xml:space="preserve"> </w:t>
            </w:r>
          </w:p>
          <w:p w14:paraId="286DEADE" w14:textId="21E5B9EB" w:rsidR="00AF3942" w:rsidRPr="00253937" w:rsidRDefault="005B687E" w:rsidP="005E4E80">
            <w:pPr>
              <w:spacing w:before="60" w:after="60"/>
              <w:ind w:right="-187"/>
              <w:rPr>
                <w:rFonts w:cstheme="minorHAnsi"/>
                <w:b/>
                <w:lang w:val="en-US" w:eastAsia="ja-JP"/>
              </w:rPr>
            </w:pPr>
            <w:r w:rsidRPr="005B687E">
              <w:rPr>
                <w:vertAlign w:val="superscript"/>
                <w:lang w:val="en-US" w:eastAsia="ja-JP"/>
              </w:rPr>
              <w:t>(</w:t>
            </w:r>
            <w:r w:rsidR="005E4E80">
              <w:rPr>
                <w:vertAlign w:val="superscript"/>
                <w:lang w:val="en-US" w:eastAsia="ja-JP"/>
              </w:rPr>
              <w:t>3</w:t>
            </w:r>
            <w:r w:rsidRPr="005B687E">
              <w:rPr>
                <w:vertAlign w:val="superscript"/>
                <w:lang w:val="en-US" w:eastAsia="ja-JP"/>
              </w:rPr>
              <w:t>)</w:t>
            </w:r>
            <w:r>
              <w:rPr>
                <w:vertAlign w:val="superscript"/>
                <w:lang w:val="en-US" w:eastAsia="ja-JP"/>
              </w:rPr>
              <w:t xml:space="preserve"> </w:t>
            </w:r>
            <w:r w:rsidR="00521967" w:rsidRPr="00521967">
              <w:rPr>
                <w:lang w:val="en-US" w:eastAsia="ja-JP"/>
              </w:rPr>
              <w:t>Safety Assessment Management GmbH,</w:t>
            </w:r>
            <w:r w:rsidR="00521967">
              <w:rPr>
                <w:lang w:val="en-US" w:eastAsia="ja-JP"/>
              </w:rPr>
              <w:t xml:space="preserve"> </w:t>
            </w:r>
            <w:r w:rsidR="00521967" w:rsidRPr="00521967">
              <w:rPr>
                <w:lang w:val="en-US" w:eastAsia="ja-JP"/>
              </w:rPr>
              <w:t>Switzerland</w:t>
            </w:r>
          </w:p>
        </w:tc>
      </w:tr>
      <w:tr w:rsidR="00ED483F" w:rsidRPr="00AF3942" w14:paraId="3A0B6CB2" w14:textId="77777777" w:rsidTr="001A0356">
        <w:trPr>
          <w:trHeight w:val="952"/>
        </w:trPr>
        <w:tc>
          <w:tcPr>
            <w:tcW w:w="9016" w:type="dxa"/>
            <w:gridSpan w:val="2"/>
          </w:tcPr>
          <w:p w14:paraId="49E5354D" w14:textId="77777777" w:rsidR="009249FD" w:rsidRPr="00AF3942" w:rsidRDefault="25561F91" w:rsidP="25561F91">
            <w:pPr>
              <w:spacing w:before="60" w:after="60"/>
              <w:ind w:right="-187"/>
              <w:rPr>
                <w:b/>
                <w:bCs/>
                <w:lang w:eastAsia="ja-JP"/>
              </w:rPr>
            </w:pPr>
            <w:r w:rsidRPr="25561F91">
              <w:rPr>
                <w:b/>
                <w:bCs/>
                <w:lang w:eastAsia="ja-JP"/>
              </w:rPr>
              <w:t xml:space="preserve">Abstract </w:t>
            </w:r>
            <w:r w:rsidRPr="25561F91">
              <w:rPr>
                <w:b/>
                <w:bCs/>
              </w:rPr>
              <w:t>Title</w:t>
            </w:r>
            <w:r w:rsidRPr="25561F91">
              <w:rPr>
                <w:b/>
                <w:bCs/>
                <w:lang w:eastAsia="ja-JP"/>
              </w:rPr>
              <w:t>:</w:t>
            </w:r>
          </w:p>
          <w:p w14:paraId="49937C11" w14:textId="79AE12FB" w:rsidR="00C60BC5" w:rsidRPr="00AF3942" w:rsidRDefault="25561F91" w:rsidP="25561F91">
            <w:pPr>
              <w:spacing w:before="60" w:after="60"/>
              <w:ind w:right="-187"/>
              <w:rPr>
                <w:b/>
                <w:bCs/>
              </w:rPr>
            </w:pPr>
            <w:r w:rsidRPr="25561F91">
              <w:rPr>
                <w:b/>
                <w:bCs/>
                <w:lang w:eastAsia="ja-JP"/>
              </w:rPr>
              <w:t>Nagra’s safety argumentation for the general licence application for the Swiss deep geological repository</w:t>
            </w:r>
          </w:p>
        </w:tc>
      </w:tr>
      <w:tr w:rsidR="00285532" w:rsidRPr="006C778A" w14:paraId="634A57D2" w14:textId="77777777" w:rsidTr="001A0356">
        <w:trPr>
          <w:trHeight w:val="2950"/>
        </w:trPr>
        <w:tc>
          <w:tcPr>
            <w:tcW w:w="9016" w:type="dxa"/>
            <w:gridSpan w:val="2"/>
            <w:tcBorders>
              <w:bottom w:val="single" w:sz="4" w:space="0" w:color="auto"/>
            </w:tcBorders>
          </w:tcPr>
          <w:p w14:paraId="1F8712A4" w14:textId="77777777" w:rsidR="0037691F" w:rsidRDefault="25561F91" w:rsidP="001A0356">
            <w:pPr>
              <w:spacing w:before="60" w:after="60"/>
              <w:ind w:right="144"/>
              <w:jc w:val="both"/>
              <w:rPr>
                <w:b/>
                <w:bCs/>
                <w:lang w:eastAsia="ja-JP"/>
              </w:rPr>
            </w:pPr>
            <w:r w:rsidRPr="25561F91">
              <w:rPr>
                <w:b/>
                <w:bCs/>
                <w:lang w:eastAsia="ja-JP"/>
              </w:rPr>
              <w:t>Abstract (300-500 words):</w:t>
            </w:r>
          </w:p>
          <w:p w14:paraId="1D9F82B4" w14:textId="1800B36A" w:rsidR="00257743" w:rsidRDefault="0037691F" w:rsidP="001A0356">
            <w:pPr>
              <w:spacing w:before="60" w:after="60"/>
              <w:ind w:right="144"/>
              <w:jc w:val="both"/>
            </w:pPr>
            <w:r w:rsidRPr="000D6D00">
              <w:t>In Switzerland, the Nuclear Energy Act (KEG) requires the disposal of all types of radioactive waste in deep geological repositories</w:t>
            </w:r>
            <w:r w:rsidRPr="25561F91">
              <w:rPr>
                <w:rStyle w:val="normaltextrun"/>
                <w:rFonts w:eastAsiaTheme="majorEastAsia"/>
              </w:rPr>
              <w:t xml:space="preserve"> </w:t>
            </w:r>
            <w:sdt>
              <w:sdtPr>
                <w:rPr>
                  <w:rStyle w:val="normaltextrun"/>
                  <w:rFonts w:eastAsiaTheme="majorEastAsia"/>
                </w:rPr>
                <w:alias w:val="To edit, see citavi.com/edit"/>
                <w:tag w:val="CitaviPlaceholder#afcf35d3-9bc1-4a45-9fc7-b0741c038a64"/>
                <w:id w:val="-232930890"/>
                <w:placeholder>
                  <w:docPart w:val="77DC9C407454497489530F0B297C559F"/>
                </w:placeholder>
              </w:sdtPr>
              <w:sdtContent>
                <w:r w:rsidRPr="000D6D00">
                  <w:rPr>
                    <w:rStyle w:val="normaltextrun"/>
                    <w:rFonts w:eastAsiaTheme="majorEastAsia"/>
                  </w:rPr>
                  <w:fldChar w:fldCharType="begin"/>
                </w:r>
                <w:r w:rsidRPr="000D6D00">
                  <w:rPr>
                    <w:rStyle w:val="normaltextrun"/>
                    <w:rFonts w:eastAsiaTheme="majorEastAsia"/>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NTkyNTZiLTZjMTEtNGI1NC05MDRkLWJmNjljODA4MjllYyIsIlJhbmdlTGVuZ3RoIjoxMCwiUmVmZXJlbmNlSWQiOiJlZGRkOTM2Mi1hMmY1LTQyMGMtYWZjZS1iNmFjNmU0OTkyMTY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}</w:instrText>
                </w:r>
                <w:r w:rsidRPr="000D6D00">
                  <w:rPr>
                    <w:rStyle w:val="normaltextrun"/>
                    <w:rFonts w:eastAsiaTheme="majorEastAsia"/>
                  </w:rPr>
                  <w:fldChar w:fldCharType="separate"/>
                </w:r>
                <w:r w:rsidRPr="000D6D00">
                  <w:rPr>
                    <w:rStyle w:val="normaltextrun"/>
                    <w:rFonts w:eastAsiaTheme="majorEastAsia"/>
                  </w:rPr>
                  <w:t>(KEG 2003)</w:t>
                </w:r>
                <w:r w:rsidRPr="000D6D00">
                  <w:rPr>
                    <w:rStyle w:val="normaltextrun"/>
                    <w:rFonts w:eastAsiaTheme="majorEastAsia"/>
                  </w:rPr>
                  <w:fldChar w:fldCharType="end"/>
                </w:r>
              </w:sdtContent>
            </w:sdt>
            <w:r w:rsidRPr="25561F91">
              <w:rPr>
                <w:rStyle w:val="normaltextrun"/>
                <w:rFonts w:eastAsiaTheme="majorEastAsia"/>
              </w:rPr>
              <w:t xml:space="preserve">. Following a three-stage site selection process according to the Sectoral Plan for Deep Geological Repositories </w:t>
            </w:r>
            <w:sdt>
              <w:sdtPr>
                <w:rPr>
                  <w:rStyle w:val="normaltextrun"/>
                  <w:rFonts w:eastAsiaTheme="majorEastAsia"/>
                </w:rPr>
                <w:alias w:val="To edit, see citavi.com/edit"/>
                <w:tag w:val="CitaviPlaceholder#2a7bec24-2a80-4416-ae76-d23f7c6787f1"/>
                <w:id w:val="1112780744"/>
                <w:placeholder>
                  <w:docPart w:val="2D2DACC08940459EB39DB9A204A54A3A"/>
                </w:placeholder>
              </w:sdtPr>
              <w:sdtContent>
                <w:r w:rsidRPr="000D6D00">
                  <w:rPr>
                    <w:rStyle w:val="normaltextrun"/>
                    <w:rFonts w:eastAsiaTheme="majorEastAsia"/>
                  </w:rPr>
                  <w:fldChar w:fldCharType="begin"/>
                </w:r>
                <w:r w:rsidRPr="000D6D00">
                  <w:rPr>
                    <w:rStyle w:val="normaltextrun"/>
                    <w:rFonts w:eastAsiaTheme="majorEastAsia"/>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YzNhMzJlLTZmODMtNGUzOS1hZDBmLWM1NDc0YWE5MjE4YSIsIlJhbmdlTGVuZ3RoIjoxMCwiUmVmZXJlbmNlSWQiOiJhYWRiYzNjNi00Mjc5LTQwZTAtOWU2Yy0wZTE1ZWM0MGI4MzE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}</w:instrText>
                </w:r>
                <w:r w:rsidRPr="000D6D00">
                  <w:rPr>
                    <w:rStyle w:val="normaltextrun"/>
                    <w:rFonts w:eastAsiaTheme="majorEastAsia"/>
                  </w:rPr>
                  <w:fldChar w:fldCharType="separate"/>
                </w:r>
                <w:r w:rsidRPr="000D6D00">
                  <w:rPr>
                    <w:rStyle w:val="normaltextrun"/>
                    <w:rFonts w:eastAsiaTheme="majorEastAsia"/>
                  </w:rPr>
                  <w:t>(BFE 2008)</w:t>
                </w:r>
                <w:r w:rsidRPr="000D6D00">
                  <w:rPr>
                    <w:rStyle w:val="normaltextrun"/>
                    <w:rFonts w:eastAsiaTheme="majorEastAsia"/>
                  </w:rPr>
                  <w:fldChar w:fldCharType="end"/>
                </w:r>
              </w:sdtContent>
            </w:sdt>
            <w:r w:rsidRPr="25561F91">
              <w:rPr>
                <w:rStyle w:val="normaltextrun"/>
                <w:rFonts w:eastAsiaTheme="majorEastAsia"/>
              </w:rPr>
              <w:t xml:space="preserve">, the Swiss implementor Nagra </w:t>
            </w:r>
            <w:r w:rsidRPr="000D6D00">
              <w:t>propose</w:t>
            </w:r>
            <w:r>
              <w:t xml:space="preserve">s the siting region </w:t>
            </w:r>
            <w:proofErr w:type="spellStart"/>
            <w:r>
              <w:t>Nördlich</w:t>
            </w:r>
            <w:proofErr w:type="spellEnd"/>
            <w:r>
              <w:t xml:space="preserve"> </w:t>
            </w:r>
            <w:proofErr w:type="spellStart"/>
            <w:r>
              <w:t>Lägern</w:t>
            </w:r>
            <w:proofErr w:type="spellEnd"/>
            <w:r w:rsidRPr="000D6D00">
              <w:t xml:space="preserve"> </w:t>
            </w:r>
            <w:r>
              <w:t>to host</w:t>
            </w:r>
            <w:r w:rsidRPr="000D6D00">
              <w:t xml:space="preserve"> a combined repository for both HLW and L/ILW </w:t>
            </w:r>
            <w:sdt>
              <w:sdtPr>
                <w:alias w:val="To edit, see citavi.com/edit"/>
                <w:tag w:val="CitaviPlaceholder#9d4fe5f1-dd35-437a-a64b-78d1dcecb63e"/>
                <w:id w:val="-554237998"/>
                <w:placeholder>
                  <w:docPart w:val="4A7C6D3A87864D1EB9EB52FD25C376D3"/>
                </w:placeholder>
              </w:sdtPr>
              <w:sdtContent>
                <w:r w:rsidRPr="000D6D00">
                  <w:fldChar w:fldCharType="begin"/>
                </w:r>
                <w:r w:rsidRPr="000D6D00">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YmZlNWYwLWQzNzgtNDRlZi1hMTdkLTBlODhiOTU5YjM2MyIsIlJhbmdlTGVuZ3RoIjoxMiwiUmVmZXJlbmNlSWQiOiJkZGI4NTBiNC0xZDZkLTRkYzktODU0NC0xMjg0MjNlMjhjNTc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}</w:instrText>
                </w:r>
                <w:r w:rsidRPr="000D6D00">
                  <w:fldChar w:fldCharType="separate"/>
                </w:r>
                <w:r w:rsidRPr="000D6D00">
                  <w:t>(Nagra 2022)</w:t>
                </w:r>
                <w:r w:rsidRPr="000D6D00">
                  <w:fldChar w:fldCharType="end"/>
                </w:r>
              </w:sdtContent>
            </w:sdt>
            <w:r>
              <w:t xml:space="preserve">. Nagra </w:t>
            </w:r>
            <w:r w:rsidR="006E0C1F">
              <w:t>will</w:t>
            </w:r>
            <w:r>
              <w:t xml:space="preserve"> submit </w:t>
            </w:r>
            <w:r w:rsidR="00C07E20">
              <w:t>the</w:t>
            </w:r>
            <w:r>
              <w:t xml:space="preserve"> general licence application for such a repository </w:t>
            </w:r>
            <w:r w:rsidR="00974682">
              <w:t xml:space="preserve">end of </w:t>
            </w:r>
            <w:r>
              <w:t>2024. The application will contain a safety-based justification for the last stage of the site selection according to the Sectoral Plan and a post-closure safety case for the planned repository.</w:t>
            </w:r>
          </w:p>
          <w:p w14:paraId="2D5A5649" w14:textId="3FB0875A" w:rsidR="002B0720" w:rsidRDefault="25561F91" w:rsidP="001A0356">
            <w:pPr>
              <w:spacing w:before="60" w:after="60"/>
              <w:ind w:right="144"/>
              <w:jc w:val="both"/>
            </w:pPr>
            <w:r>
              <w:t xml:space="preserve">We present the key aspects of the safety argumentation for both the site selection and the safety case and discuss challenges and opportunities at this crucial step in the disposal program, where the knowledge base has significantly increased and the project advances in view of the construction licence application. The following topics will be highlighted: </w:t>
            </w:r>
          </w:p>
          <w:p w14:paraId="6D5B7063" w14:textId="127D8791" w:rsidR="007A231D" w:rsidRDefault="25561F91" w:rsidP="001A0356">
            <w:pPr>
              <w:pStyle w:val="ListParagraph"/>
              <w:numPr>
                <w:ilvl w:val="0"/>
                <w:numId w:val="4"/>
              </w:numPr>
              <w:spacing w:before="60" w:after="60"/>
              <w:ind w:right="144"/>
              <w:jc w:val="both"/>
            </w:pPr>
            <w:r>
              <w:t>Consistency and adequate management of uncertainties for the site selection argumentation and the safety case,</w:t>
            </w:r>
          </w:p>
          <w:p w14:paraId="7DF21573" w14:textId="4767EEF3" w:rsidR="007B20FC" w:rsidRDefault="25561F91" w:rsidP="001A0356">
            <w:pPr>
              <w:pStyle w:val="ListParagraph"/>
              <w:numPr>
                <w:ilvl w:val="0"/>
                <w:numId w:val="4"/>
              </w:numPr>
              <w:spacing w:before="60" w:after="60"/>
              <w:ind w:right="144"/>
              <w:jc w:val="both"/>
            </w:pPr>
            <w:r>
              <w:t>structure and logics of the safety argumentation and safety assessment methodology,</w:t>
            </w:r>
          </w:p>
          <w:p w14:paraId="46B94C48" w14:textId="71DDD2B3" w:rsidR="00913206" w:rsidRDefault="25561F91" w:rsidP="001A0356">
            <w:pPr>
              <w:pStyle w:val="ListParagraph"/>
              <w:numPr>
                <w:ilvl w:val="0"/>
                <w:numId w:val="4"/>
              </w:numPr>
              <w:spacing w:before="60" w:after="60"/>
              <w:ind w:right="144"/>
              <w:jc w:val="both"/>
            </w:pPr>
            <w:r>
              <w:t xml:space="preserve">the role of the safety assessments within the project development cycle that includes requirements and design development, </w:t>
            </w:r>
          </w:p>
          <w:p w14:paraId="469947BE" w14:textId="233EBC0E" w:rsidR="002E0206" w:rsidRDefault="25561F91" w:rsidP="001A0356">
            <w:pPr>
              <w:pStyle w:val="ListParagraph"/>
              <w:numPr>
                <w:ilvl w:val="0"/>
                <w:numId w:val="4"/>
              </w:numPr>
              <w:spacing w:before="60" w:after="60"/>
              <w:ind w:right="144"/>
              <w:jc w:val="both"/>
            </w:pPr>
            <w:r>
              <w:t xml:space="preserve">how safety argumentation contributes to acceptance and trust, despite remaining uncertainty. </w:t>
            </w:r>
          </w:p>
          <w:p w14:paraId="4089F8FA" w14:textId="0D13BC0A" w:rsidR="003958AC" w:rsidRDefault="25561F91" w:rsidP="001A0356">
            <w:pPr>
              <w:spacing w:before="60" w:after="60"/>
              <w:ind w:right="144"/>
              <w:jc w:val="both"/>
            </w:pPr>
            <w:r>
              <w:t xml:space="preserve">The contribution will conclude by summarising lessons learned, the strengths of the approach, and an outlook towards future program milestones. </w:t>
            </w:r>
          </w:p>
          <w:p w14:paraId="0C37E7F0" w14:textId="77777777" w:rsidR="005C0DB5" w:rsidRDefault="005C0DB5" w:rsidP="001A0356">
            <w:pPr>
              <w:spacing w:before="60" w:after="60"/>
              <w:ind w:right="144"/>
              <w:jc w:val="both"/>
            </w:pPr>
          </w:p>
          <w:p w14:paraId="3ED8EE43" w14:textId="13DFFB1E" w:rsidR="005C0DB5" w:rsidRPr="00974682" w:rsidRDefault="25561F91" w:rsidP="001A0356">
            <w:pPr>
              <w:spacing w:before="60" w:after="60"/>
              <w:ind w:right="144"/>
              <w:jc w:val="both"/>
              <w:rPr>
                <w:b/>
                <w:bCs/>
                <w:lang w:val="de-CH" w:eastAsia="ja-JP"/>
              </w:rPr>
            </w:pPr>
            <w:r w:rsidRPr="25561F91">
              <w:rPr>
                <w:b/>
                <w:bCs/>
                <w:lang w:val="de-CH" w:eastAsia="ja-JP"/>
              </w:rPr>
              <w:t>References</w:t>
            </w:r>
          </w:p>
          <w:p w14:paraId="62250839" w14:textId="77777777" w:rsidR="00222817" w:rsidRDefault="00222817" w:rsidP="001A0356">
            <w:pPr>
              <w:pStyle w:val="CitaviBibliographyEntry"/>
              <w:spacing w:before="120"/>
              <w:ind w:left="562" w:right="144" w:hanging="562"/>
              <w:jc w:val="both"/>
            </w:pPr>
            <w:bookmarkStart w:id="0" w:name="_CTVL001aadbc3c6427940e09e6c0e15ec40b831"/>
            <w:bookmarkStart w:id="1" w:name="_CTVL001eddd9362a2f5420cafceb6ac6e499216"/>
            <w:r>
              <w:t>BFE (2008): Sachplan Geologische Tiefenlager: Konzeptteil. BFE 2. April 2008 (Revision vom 30. November 2011). Departement für Umwelt, Verkehr, Energie und Kommunikation UVEK, Bern.</w:t>
            </w:r>
          </w:p>
          <w:bookmarkEnd w:id="0"/>
          <w:p w14:paraId="1A15A10D" w14:textId="77777777" w:rsidR="00D220EF" w:rsidRDefault="00D220EF" w:rsidP="001A0356">
            <w:pPr>
              <w:pStyle w:val="CitaviBibliographyEntry"/>
              <w:spacing w:before="120"/>
              <w:ind w:left="562" w:right="144" w:hanging="562"/>
              <w:jc w:val="both"/>
            </w:pPr>
            <w:r>
              <w:t>KEG (2003): Kernenergiegesetz (KEG) vom 21. März 2003, Stand am 1. Januar 2024. Systematische Sammlung des Bundesrechts SR 732.1, Schweiz.</w:t>
            </w:r>
          </w:p>
          <w:p w14:paraId="611C6F56" w14:textId="77777777" w:rsidR="005C0DB5" w:rsidRDefault="005C0DB5" w:rsidP="001A0356">
            <w:pPr>
              <w:pStyle w:val="CitaviBibliographyEntry"/>
              <w:spacing w:before="120"/>
              <w:ind w:left="562" w:right="144" w:hanging="562"/>
              <w:jc w:val="both"/>
            </w:pPr>
            <w:bookmarkStart w:id="2" w:name="_CTVL001ddb850b41d6d4dc98544128423e28c57"/>
            <w:r>
              <w:t>Nagra (2022): Der Standort für das Tiefenlager - Der Vorschlag der Nagra.</w:t>
            </w:r>
          </w:p>
          <w:bookmarkEnd w:id="1"/>
          <w:bookmarkEnd w:id="2"/>
          <w:p w14:paraId="7BB4D488" w14:textId="17866677" w:rsidR="003B1F4D" w:rsidRPr="005C0DB5" w:rsidRDefault="003B1F4D" w:rsidP="00F909FF">
            <w:pPr>
              <w:spacing w:before="60" w:after="60"/>
              <w:ind w:right="-187"/>
              <w:rPr>
                <w:rFonts w:cstheme="minorHAnsi"/>
                <w:lang w:val="de-CH" w:eastAsia="ja-JP"/>
              </w:rPr>
            </w:pPr>
          </w:p>
        </w:tc>
      </w:tr>
    </w:tbl>
    <w:p w14:paraId="5C25AB90" w14:textId="77777777" w:rsidR="00ED483F" w:rsidRPr="006C778A" w:rsidRDefault="00ED483F" w:rsidP="00C60BC5">
      <w:pPr>
        <w:spacing w:after="0" w:line="240" w:lineRule="auto"/>
        <w:ind w:right="-188"/>
        <w:rPr>
          <w:rFonts w:cstheme="minorHAnsi"/>
          <w:b/>
          <w:lang w:val="fr-FR" w:eastAsia="ja-JP"/>
        </w:rPr>
      </w:pPr>
    </w:p>
    <w:sectPr w:rsidR="00ED483F" w:rsidRPr="006C778A" w:rsidSect="002451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48911" w14:textId="77777777" w:rsidR="00E74C3E" w:rsidRDefault="00E74C3E" w:rsidP="00AF3942">
      <w:pPr>
        <w:spacing w:after="0" w:line="240" w:lineRule="auto"/>
      </w:pPr>
      <w:r>
        <w:separator/>
      </w:r>
    </w:p>
  </w:endnote>
  <w:endnote w:type="continuationSeparator" w:id="0">
    <w:p w14:paraId="2F46A9BD" w14:textId="77777777" w:rsidR="00E74C3E" w:rsidRDefault="00E74C3E"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E00EC" w14:textId="77777777" w:rsidR="00E74C3E" w:rsidRDefault="00E74C3E" w:rsidP="00AF3942">
      <w:pPr>
        <w:spacing w:after="0" w:line="240" w:lineRule="auto"/>
      </w:pPr>
      <w:r>
        <w:separator/>
      </w:r>
    </w:p>
  </w:footnote>
  <w:footnote w:type="continuationSeparator" w:id="0">
    <w:p w14:paraId="722CBD32" w14:textId="77777777" w:rsidR="00E74C3E" w:rsidRDefault="00E74C3E"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B3E6D"/>
    <w:multiLevelType w:val="hybridMultilevel"/>
    <w:tmpl w:val="4770E15A"/>
    <w:lvl w:ilvl="0" w:tplc="08070001">
      <w:start w:val="1"/>
      <w:numFmt w:val="bullet"/>
      <w:lvlText w:val=""/>
      <w:lvlJc w:val="left"/>
      <w:pPr>
        <w:ind w:left="825" w:hanging="360"/>
      </w:pPr>
      <w:rPr>
        <w:rFonts w:ascii="Symbol" w:hAnsi="Symbol" w:hint="default"/>
      </w:rPr>
    </w:lvl>
    <w:lvl w:ilvl="1" w:tplc="08070003" w:tentative="1">
      <w:start w:val="1"/>
      <w:numFmt w:val="bullet"/>
      <w:lvlText w:val="o"/>
      <w:lvlJc w:val="left"/>
      <w:pPr>
        <w:ind w:left="1545" w:hanging="360"/>
      </w:pPr>
      <w:rPr>
        <w:rFonts w:ascii="Courier New" w:hAnsi="Courier New" w:cs="Courier New" w:hint="default"/>
      </w:rPr>
    </w:lvl>
    <w:lvl w:ilvl="2" w:tplc="08070005" w:tentative="1">
      <w:start w:val="1"/>
      <w:numFmt w:val="bullet"/>
      <w:lvlText w:val=""/>
      <w:lvlJc w:val="left"/>
      <w:pPr>
        <w:ind w:left="2265" w:hanging="360"/>
      </w:pPr>
      <w:rPr>
        <w:rFonts w:ascii="Wingdings" w:hAnsi="Wingdings" w:hint="default"/>
      </w:rPr>
    </w:lvl>
    <w:lvl w:ilvl="3" w:tplc="08070001" w:tentative="1">
      <w:start w:val="1"/>
      <w:numFmt w:val="bullet"/>
      <w:lvlText w:val=""/>
      <w:lvlJc w:val="left"/>
      <w:pPr>
        <w:ind w:left="2985" w:hanging="360"/>
      </w:pPr>
      <w:rPr>
        <w:rFonts w:ascii="Symbol" w:hAnsi="Symbol" w:hint="default"/>
      </w:rPr>
    </w:lvl>
    <w:lvl w:ilvl="4" w:tplc="08070003" w:tentative="1">
      <w:start w:val="1"/>
      <w:numFmt w:val="bullet"/>
      <w:lvlText w:val="o"/>
      <w:lvlJc w:val="left"/>
      <w:pPr>
        <w:ind w:left="3705" w:hanging="360"/>
      </w:pPr>
      <w:rPr>
        <w:rFonts w:ascii="Courier New" w:hAnsi="Courier New" w:cs="Courier New" w:hint="default"/>
      </w:rPr>
    </w:lvl>
    <w:lvl w:ilvl="5" w:tplc="08070005" w:tentative="1">
      <w:start w:val="1"/>
      <w:numFmt w:val="bullet"/>
      <w:lvlText w:val=""/>
      <w:lvlJc w:val="left"/>
      <w:pPr>
        <w:ind w:left="4425" w:hanging="360"/>
      </w:pPr>
      <w:rPr>
        <w:rFonts w:ascii="Wingdings" w:hAnsi="Wingdings" w:hint="default"/>
      </w:rPr>
    </w:lvl>
    <w:lvl w:ilvl="6" w:tplc="08070001" w:tentative="1">
      <w:start w:val="1"/>
      <w:numFmt w:val="bullet"/>
      <w:lvlText w:val=""/>
      <w:lvlJc w:val="left"/>
      <w:pPr>
        <w:ind w:left="5145" w:hanging="360"/>
      </w:pPr>
      <w:rPr>
        <w:rFonts w:ascii="Symbol" w:hAnsi="Symbol" w:hint="default"/>
      </w:rPr>
    </w:lvl>
    <w:lvl w:ilvl="7" w:tplc="08070003" w:tentative="1">
      <w:start w:val="1"/>
      <w:numFmt w:val="bullet"/>
      <w:lvlText w:val="o"/>
      <w:lvlJc w:val="left"/>
      <w:pPr>
        <w:ind w:left="5865" w:hanging="360"/>
      </w:pPr>
      <w:rPr>
        <w:rFonts w:ascii="Courier New" w:hAnsi="Courier New" w:cs="Courier New" w:hint="default"/>
      </w:rPr>
    </w:lvl>
    <w:lvl w:ilvl="8" w:tplc="08070005" w:tentative="1">
      <w:start w:val="1"/>
      <w:numFmt w:val="bullet"/>
      <w:lvlText w:val=""/>
      <w:lvlJc w:val="left"/>
      <w:pPr>
        <w:ind w:left="6585" w:hanging="360"/>
      </w:pPr>
      <w:rPr>
        <w:rFonts w:ascii="Wingdings" w:hAnsi="Wingdings" w:hint="default"/>
      </w:rPr>
    </w:lvl>
  </w:abstractNum>
  <w:abstractNum w:abstractNumId="1"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2"/>
  </w:num>
  <w:num w:numId="2" w16cid:durableId="264533111">
    <w:abstractNumId w:val="1"/>
  </w:num>
  <w:num w:numId="3" w16cid:durableId="902835894">
    <w:abstractNumId w:val="3"/>
  </w:num>
  <w:num w:numId="4" w16cid:durableId="2029675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0E27"/>
    <w:rsid w:val="00004978"/>
    <w:rsid w:val="00006677"/>
    <w:rsid w:val="00007A14"/>
    <w:rsid w:val="00011325"/>
    <w:rsid w:val="00023D7C"/>
    <w:rsid w:val="000340AA"/>
    <w:rsid w:val="00042305"/>
    <w:rsid w:val="00044C09"/>
    <w:rsid w:val="0004578C"/>
    <w:rsid w:val="0005172A"/>
    <w:rsid w:val="00062BB5"/>
    <w:rsid w:val="00067603"/>
    <w:rsid w:val="000719B9"/>
    <w:rsid w:val="00080ED3"/>
    <w:rsid w:val="000B0109"/>
    <w:rsid w:val="000C2815"/>
    <w:rsid w:val="001210D2"/>
    <w:rsid w:val="001215B8"/>
    <w:rsid w:val="001257B3"/>
    <w:rsid w:val="00136848"/>
    <w:rsid w:val="00156766"/>
    <w:rsid w:val="00175DDB"/>
    <w:rsid w:val="00193E62"/>
    <w:rsid w:val="001A0356"/>
    <w:rsid w:val="001B0FEF"/>
    <w:rsid w:val="001B5BA9"/>
    <w:rsid w:val="001D203E"/>
    <w:rsid w:val="001E04F7"/>
    <w:rsid w:val="001F1B01"/>
    <w:rsid w:val="001F7D45"/>
    <w:rsid w:val="002005EB"/>
    <w:rsid w:val="00211CC8"/>
    <w:rsid w:val="00222817"/>
    <w:rsid w:val="0024518F"/>
    <w:rsid w:val="00253937"/>
    <w:rsid w:val="00257743"/>
    <w:rsid w:val="0025791E"/>
    <w:rsid w:val="00261A69"/>
    <w:rsid w:val="00285532"/>
    <w:rsid w:val="002B0720"/>
    <w:rsid w:val="002C48DA"/>
    <w:rsid w:val="002C5CFB"/>
    <w:rsid w:val="002E0206"/>
    <w:rsid w:val="00316E7D"/>
    <w:rsid w:val="00320E83"/>
    <w:rsid w:val="00333480"/>
    <w:rsid w:val="00371746"/>
    <w:rsid w:val="0037691F"/>
    <w:rsid w:val="003905EB"/>
    <w:rsid w:val="003958AC"/>
    <w:rsid w:val="00397F95"/>
    <w:rsid w:val="003A237C"/>
    <w:rsid w:val="003B1F4D"/>
    <w:rsid w:val="003D606A"/>
    <w:rsid w:val="003D7FB5"/>
    <w:rsid w:val="00424D07"/>
    <w:rsid w:val="004603B5"/>
    <w:rsid w:val="00463DC7"/>
    <w:rsid w:val="004961BC"/>
    <w:rsid w:val="004A1686"/>
    <w:rsid w:val="004A3E10"/>
    <w:rsid w:val="004B4346"/>
    <w:rsid w:val="004C6E46"/>
    <w:rsid w:val="004D40A7"/>
    <w:rsid w:val="004E14D9"/>
    <w:rsid w:val="004F1F1F"/>
    <w:rsid w:val="00511097"/>
    <w:rsid w:val="0051751D"/>
    <w:rsid w:val="005208E7"/>
    <w:rsid w:val="00521967"/>
    <w:rsid w:val="005450C5"/>
    <w:rsid w:val="00574905"/>
    <w:rsid w:val="00574A74"/>
    <w:rsid w:val="00586EA2"/>
    <w:rsid w:val="005954B7"/>
    <w:rsid w:val="005B687E"/>
    <w:rsid w:val="005B7B53"/>
    <w:rsid w:val="005C0DB5"/>
    <w:rsid w:val="005C1938"/>
    <w:rsid w:val="005C4320"/>
    <w:rsid w:val="005E4E80"/>
    <w:rsid w:val="005E6696"/>
    <w:rsid w:val="006126EE"/>
    <w:rsid w:val="00621028"/>
    <w:rsid w:val="0062499C"/>
    <w:rsid w:val="00640FF1"/>
    <w:rsid w:val="00667547"/>
    <w:rsid w:val="00667C32"/>
    <w:rsid w:val="0067177D"/>
    <w:rsid w:val="006774E8"/>
    <w:rsid w:val="006A5384"/>
    <w:rsid w:val="006C48FC"/>
    <w:rsid w:val="006C778A"/>
    <w:rsid w:val="006D1BB9"/>
    <w:rsid w:val="006E0C1F"/>
    <w:rsid w:val="006E6AD8"/>
    <w:rsid w:val="0070051F"/>
    <w:rsid w:val="00703726"/>
    <w:rsid w:val="0071620C"/>
    <w:rsid w:val="0072273E"/>
    <w:rsid w:val="007319F6"/>
    <w:rsid w:val="00732510"/>
    <w:rsid w:val="00732E88"/>
    <w:rsid w:val="00734AA3"/>
    <w:rsid w:val="0073678F"/>
    <w:rsid w:val="0074091E"/>
    <w:rsid w:val="007611CF"/>
    <w:rsid w:val="00762399"/>
    <w:rsid w:val="0077682E"/>
    <w:rsid w:val="007873E8"/>
    <w:rsid w:val="007A231D"/>
    <w:rsid w:val="007A5806"/>
    <w:rsid w:val="007B170C"/>
    <w:rsid w:val="007B20FC"/>
    <w:rsid w:val="007B471B"/>
    <w:rsid w:val="007C2E78"/>
    <w:rsid w:val="007C4829"/>
    <w:rsid w:val="007D3773"/>
    <w:rsid w:val="007F7A9E"/>
    <w:rsid w:val="00803B8A"/>
    <w:rsid w:val="00814407"/>
    <w:rsid w:val="00861B4E"/>
    <w:rsid w:val="008628C7"/>
    <w:rsid w:val="00875E33"/>
    <w:rsid w:val="008C53E2"/>
    <w:rsid w:val="008F4C9B"/>
    <w:rsid w:val="00913206"/>
    <w:rsid w:val="00914F63"/>
    <w:rsid w:val="009172C9"/>
    <w:rsid w:val="009249FD"/>
    <w:rsid w:val="00974682"/>
    <w:rsid w:val="009A1B49"/>
    <w:rsid w:val="009C3C04"/>
    <w:rsid w:val="009D098B"/>
    <w:rsid w:val="009F1D42"/>
    <w:rsid w:val="009F2F33"/>
    <w:rsid w:val="00A01DDC"/>
    <w:rsid w:val="00A21B17"/>
    <w:rsid w:val="00A64893"/>
    <w:rsid w:val="00A91B0F"/>
    <w:rsid w:val="00AC0FD9"/>
    <w:rsid w:val="00AD5596"/>
    <w:rsid w:val="00AD677F"/>
    <w:rsid w:val="00AE392B"/>
    <w:rsid w:val="00AF3942"/>
    <w:rsid w:val="00B034CF"/>
    <w:rsid w:val="00B20B0C"/>
    <w:rsid w:val="00B22E8F"/>
    <w:rsid w:val="00B25878"/>
    <w:rsid w:val="00B43B79"/>
    <w:rsid w:val="00B6562E"/>
    <w:rsid w:val="00C01806"/>
    <w:rsid w:val="00C07E20"/>
    <w:rsid w:val="00C332C9"/>
    <w:rsid w:val="00C4512F"/>
    <w:rsid w:val="00C52D8B"/>
    <w:rsid w:val="00C60BC5"/>
    <w:rsid w:val="00C82EB8"/>
    <w:rsid w:val="00CC3595"/>
    <w:rsid w:val="00CD4A79"/>
    <w:rsid w:val="00CD4BAD"/>
    <w:rsid w:val="00CD5585"/>
    <w:rsid w:val="00CE4CE8"/>
    <w:rsid w:val="00D0761D"/>
    <w:rsid w:val="00D220EF"/>
    <w:rsid w:val="00D269AE"/>
    <w:rsid w:val="00D5185D"/>
    <w:rsid w:val="00D74753"/>
    <w:rsid w:val="00D82DF7"/>
    <w:rsid w:val="00D91B86"/>
    <w:rsid w:val="00DB6830"/>
    <w:rsid w:val="00DE7DCA"/>
    <w:rsid w:val="00E102AC"/>
    <w:rsid w:val="00E22E27"/>
    <w:rsid w:val="00E24189"/>
    <w:rsid w:val="00E35664"/>
    <w:rsid w:val="00E62756"/>
    <w:rsid w:val="00E74C3E"/>
    <w:rsid w:val="00E778A4"/>
    <w:rsid w:val="00EA1141"/>
    <w:rsid w:val="00EC1268"/>
    <w:rsid w:val="00ED483F"/>
    <w:rsid w:val="00EE2F15"/>
    <w:rsid w:val="00EE3F67"/>
    <w:rsid w:val="00EE474D"/>
    <w:rsid w:val="00EF140C"/>
    <w:rsid w:val="00F32E1F"/>
    <w:rsid w:val="00F52E68"/>
    <w:rsid w:val="00F54B66"/>
    <w:rsid w:val="00F64D67"/>
    <w:rsid w:val="00F909FF"/>
    <w:rsid w:val="00FC105A"/>
    <w:rsid w:val="00FC1EAF"/>
    <w:rsid w:val="00FE1761"/>
    <w:rsid w:val="25561F91"/>
    <w:rsid w:val="4C3FC18E"/>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paragraph" w:styleId="CommentText">
    <w:name w:val="annotation text"/>
    <w:basedOn w:val="Normal"/>
    <w:link w:val="CommentTextChar"/>
    <w:uiPriority w:val="99"/>
    <w:unhideWhenUsed/>
    <w:rsid w:val="00AD677F"/>
    <w:pPr>
      <w:spacing w:before="120" w:after="120" w:line="240" w:lineRule="auto"/>
      <w:jc w:val="both"/>
    </w:pPr>
    <w:rPr>
      <w:rFonts w:ascii="Times New Roman" w:eastAsia="Times New Roman" w:hAnsi="Times New Roman" w:cs="Times New Roman"/>
      <w:sz w:val="20"/>
      <w:szCs w:val="20"/>
      <w:lang w:eastAsia="de-DE"/>
    </w:rPr>
  </w:style>
  <w:style w:type="character" w:customStyle="1" w:styleId="CommentTextChar">
    <w:name w:val="Comment Text Char"/>
    <w:basedOn w:val="DefaultParagraphFont"/>
    <w:link w:val="CommentText"/>
    <w:uiPriority w:val="99"/>
    <w:rsid w:val="00AD677F"/>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AD677F"/>
    <w:rPr>
      <w:sz w:val="16"/>
      <w:szCs w:val="16"/>
    </w:rPr>
  </w:style>
  <w:style w:type="character" w:customStyle="1" w:styleId="normaltextrun">
    <w:name w:val="normaltextrun"/>
    <w:basedOn w:val="DefaultParagraphFont"/>
    <w:rsid w:val="00AD677F"/>
  </w:style>
  <w:style w:type="paragraph" w:customStyle="1" w:styleId="CitaviBibliographyEntry">
    <w:name w:val="Citavi Bibliography Entry"/>
    <w:basedOn w:val="Normal"/>
    <w:link w:val="CitaviBibliographyEntryZchn"/>
    <w:uiPriority w:val="19"/>
    <w:unhideWhenUsed/>
    <w:rsid w:val="00D220EF"/>
    <w:pPr>
      <w:keepLines/>
      <w:tabs>
        <w:tab w:val="left" w:pos="567"/>
      </w:tabs>
      <w:spacing w:before="240" w:after="0" w:line="240" w:lineRule="auto"/>
      <w:ind w:left="567" w:hanging="567"/>
    </w:pPr>
    <w:rPr>
      <w:rFonts w:ascii="Times New Roman" w:eastAsia="Times New Roman" w:hAnsi="Times New Roman" w:cs="Times New Roman"/>
      <w:noProof/>
      <w:szCs w:val="20"/>
      <w:lang w:val="de-CH" w:eastAsia="de-DE"/>
    </w:rPr>
  </w:style>
  <w:style w:type="character" w:customStyle="1" w:styleId="CitaviBibliographyEntryZchn">
    <w:name w:val="Citavi Bibliography Entry Zchn"/>
    <w:basedOn w:val="DefaultParagraphFont"/>
    <w:link w:val="CitaviBibliographyEntry"/>
    <w:uiPriority w:val="19"/>
    <w:rsid w:val="00D220EF"/>
    <w:rPr>
      <w:rFonts w:ascii="Times New Roman" w:eastAsia="Times New Roman" w:hAnsi="Times New Roman" w:cs="Times New Roman"/>
      <w:noProof/>
      <w:szCs w:val="20"/>
      <w:lang w:val="de-CH" w:eastAsia="de-DE"/>
    </w:rPr>
  </w:style>
  <w:style w:type="character" w:styleId="Hyperlink">
    <w:name w:val="Hyperlink"/>
    <w:basedOn w:val="DefaultParagraphFont"/>
    <w:uiPriority w:val="99"/>
    <w:unhideWhenUsed/>
    <w:rsid w:val="005B687E"/>
    <w:rPr>
      <w:color w:val="0000FF" w:themeColor="hyperlink"/>
      <w:u w:val="single"/>
    </w:rPr>
  </w:style>
  <w:style w:type="character" w:styleId="UnresolvedMention">
    <w:name w:val="Unresolved Mention"/>
    <w:basedOn w:val="DefaultParagraphFont"/>
    <w:uiPriority w:val="99"/>
    <w:semiHidden/>
    <w:unhideWhenUsed/>
    <w:rsid w:val="005B68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homas.kaempfer@ost.ch"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DC9C407454497489530F0B297C559F"/>
        <w:category>
          <w:name w:val="General"/>
          <w:gallery w:val="placeholder"/>
        </w:category>
        <w:types>
          <w:type w:val="bbPlcHdr"/>
        </w:types>
        <w:behaviors>
          <w:behavior w:val="content"/>
        </w:behaviors>
        <w:guid w:val="{CB1EB788-1291-488A-9ACB-629E915E5171}"/>
      </w:docPartPr>
      <w:docPartBody>
        <w:p w:rsidR="00D45CE4" w:rsidRDefault="00D45CE4" w:rsidP="00D45CE4">
          <w:pPr>
            <w:pStyle w:val="77DC9C407454497489530F0B297C559F"/>
          </w:pPr>
          <w:r w:rsidRPr="002938E4">
            <w:rPr>
              <w:rStyle w:val="PlaceholderText"/>
            </w:rPr>
            <w:t>Click or tap here to enter text.</w:t>
          </w:r>
        </w:p>
      </w:docPartBody>
    </w:docPart>
    <w:docPart>
      <w:docPartPr>
        <w:name w:val="2D2DACC08940459EB39DB9A204A54A3A"/>
        <w:category>
          <w:name w:val="General"/>
          <w:gallery w:val="placeholder"/>
        </w:category>
        <w:types>
          <w:type w:val="bbPlcHdr"/>
        </w:types>
        <w:behaviors>
          <w:behavior w:val="content"/>
        </w:behaviors>
        <w:guid w:val="{A963F495-1FB5-4BC7-A9CC-6387878C4BDC}"/>
      </w:docPartPr>
      <w:docPartBody>
        <w:p w:rsidR="00D45CE4" w:rsidRDefault="00D45CE4" w:rsidP="00D45CE4">
          <w:pPr>
            <w:pStyle w:val="2D2DACC08940459EB39DB9A204A54A3A"/>
          </w:pPr>
          <w:r w:rsidRPr="002938E4">
            <w:rPr>
              <w:rStyle w:val="PlaceholderText"/>
            </w:rPr>
            <w:t>Click or tap here to enter text.</w:t>
          </w:r>
        </w:p>
      </w:docPartBody>
    </w:docPart>
    <w:docPart>
      <w:docPartPr>
        <w:name w:val="4A7C6D3A87864D1EB9EB52FD25C376D3"/>
        <w:category>
          <w:name w:val="General"/>
          <w:gallery w:val="placeholder"/>
        </w:category>
        <w:types>
          <w:type w:val="bbPlcHdr"/>
        </w:types>
        <w:behaviors>
          <w:behavior w:val="content"/>
        </w:behaviors>
        <w:guid w:val="{03189919-87A9-4F8D-9ACF-8EB1970A0992}"/>
      </w:docPartPr>
      <w:docPartBody>
        <w:p w:rsidR="00D45CE4" w:rsidRDefault="00D45CE4" w:rsidP="00D45CE4">
          <w:pPr>
            <w:pStyle w:val="4A7C6D3A87864D1EB9EB52FD25C376D3"/>
          </w:pPr>
          <w:r w:rsidRPr="00D21E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CE4"/>
    <w:rsid w:val="00D45CE4"/>
    <w:rsid w:val="00F004E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CE4"/>
    <w:rPr>
      <w:color w:val="808080"/>
    </w:rPr>
  </w:style>
  <w:style w:type="paragraph" w:customStyle="1" w:styleId="77DC9C407454497489530F0B297C559F">
    <w:name w:val="77DC9C407454497489530F0B297C559F"/>
    <w:rsid w:val="00D45CE4"/>
  </w:style>
  <w:style w:type="paragraph" w:customStyle="1" w:styleId="2D2DACC08940459EB39DB9A204A54A3A">
    <w:name w:val="2D2DACC08940459EB39DB9A204A54A3A"/>
    <w:rsid w:val="00D45CE4"/>
  </w:style>
  <w:style w:type="paragraph" w:customStyle="1" w:styleId="4A7C6D3A87864D1EB9EB52FD25C376D3">
    <w:name w:val="4A7C6D3A87864D1EB9EB52FD25C376D3"/>
    <w:rsid w:val="00D45C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2.xml><?xml version="1.0" encoding="utf-8"?>
<ds:datastoreItem xmlns:ds="http://schemas.openxmlformats.org/officeDocument/2006/customXml" ds:itemID="{762F42EE-014E-421C-B499-577456B29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667A9C-12F8-4FEB-998F-09AB9867E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ADC45B-DC26-4433-8E7C-748959C579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1985</Words>
  <Characters>11996</Characters>
  <Application>Microsoft Office Word</Application>
  <DocSecurity>0</DocSecurity>
  <Lines>239</Lines>
  <Paragraphs>137</Paragraphs>
  <ScaleCrop>false</ScaleCrop>
  <Company>Microsoft</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LI Zhuoran, NEA/RWMD</cp:lastModifiedBy>
  <cp:revision>16</cp:revision>
  <dcterms:created xsi:type="dcterms:W3CDTF">2024-04-24T08:42:00Z</dcterms:created>
  <dcterms:modified xsi:type="dcterms:W3CDTF">2024-05-20T11:52:00Z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3e89d44bbc2fc8a015ecbef91b7e78044e237b83c2984df5f5a5fca0ea68f9c9</vt:lpwstr>
  </property>
</Properties>
</file>