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FB64"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50AD91C3" w14:textId="77777777" w:rsidR="00ED483F" w:rsidRPr="00D66730" w:rsidRDefault="00ED483F" w:rsidP="00ED483F">
      <w:pPr>
        <w:spacing w:after="0" w:line="240" w:lineRule="auto"/>
        <w:ind w:right="-188"/>
        <w:jc w:val="center"/>
        <w:rPr>
          <w:rFonts w:cstheme="minorHAnsi"/>
          <w:b/>
          <w:color w:val="000000" w:themeColor="text1"/>
        </w:rPr>
      </w:pPr>
    </w:p>
    <w:tbl>
      <w:tblPr>
        <w:tblStyle w:val="TableGrid"/>
        <w:tblW w:w="9083" w:type="dxa"/>
        <w:tblLook w:val="04A0" w:firstRow="1" w:lastRow="0" w:firstColumn="1" w:lastColumn="0" w:noHBand="0" w:noVBand="1"/>
      </w:tblPr>
      <w:tblGrid>
        <w:gridCol w:w="5707"/>
        <w:gridCol w:w="3376"/>
      </w:tblGrid>
      <w:tr w:rsidR="00D66730" w:rsidRPr="00D66730" w14:paraId="60547353" w14:textId="77777777" w:rsidTr="416A74D0">
        <w:trPr>
          <w:trHeight w:val="432"/>
        </w:trPr>
        <w:tc>
          <w:tcPr>
            <w:tcW w:w="5707" w:type="dxa"/>
          </w:tcPr>
          <w:p w14:paraId="2DBDCB72" w14:textId="509AEEA4" w:rsidR="00ED483F" w:rsidRPr="00D66730" w:rsidRDefault="00ED483F" w:rsidP="002B0699">
            <w:pPr>
              <w:spacing w:before="60" w:after="60"/>
              <w:rPr>
                <w:rFonts w:cstheme="minorHAnsi"/>
                <w:b/>
                <w:color w:val="000000" w:themeColor="text1"/>
              </w:rPr>
            </w:pPr>
            <w:r w:rsidRPr="00D66730">
              <w:rPr>
                <w:rFonts w:cstheme="minorHAnsi"/>
                <w:b/>
                <w:color w:val="000000" w:themeColor="text1"/>
              </w:rPr>
              <w:t>Abstract Number</w:t>
            </w:r>
            <w:r w:rsidR="00AF3942" w:rsidRPr="00D66730">
              <w:rPr>
                <w:rFonts w:cstheme="minorHAnsi" w:hint="eastAsia"/>
                <w:b/>
                <w:color w:val="000000" w:themeColor="text1"/>
                <w:lang w:eastAsia="ja-JP"/>
              </w:rPr>
              <w:t>:</w:t>
            </w:r>
            <w:r w:rsidR="00285532" w:rsidRPr="00D66730">
              <w:rPr>
                <w:rFonts w:cstheme="minorHAnsi"/>
                <w:b/>
                <w:color w:val="000000" w:themeColor="text1"/>
                <w:lang w:eastAsia="ja-JP"/>
              </w:rPr>
              <w:t xml:space="preserve">  </w:t>
            </w:r>
            <w:r w:rsidR="007D2FB5">
              <w:rPr>
                <w:rFonts w:cstheme="minorHAnsi"/>
                <w:b/>
                <w:color w:val="000000" w:themeColor="text1"/>
                <w:lang w:eastAsia="ja-JP"/>
              </w:rPr>
              <w:t>77</w:t>
            </w:r>
          </w:p>
        </w:tc>
        <w:tc>
          <w:tcPr>
            <w:tcW w:w="3376" w:type="dxa"/>
          </w:tcPr>
          <w:p w14:paraId="65329394" w14:textId="6526C22D" w:rsidR="00ED483F" w:rsidRPr="00D66730" w:rsidRDefault="00D843F2" w:rsidP="002B0699">
            <w:pPr>
              <w:spacing w:before="60" w:after="60"/>
              <w:rPr>
                <w:rFonts w:cstheme="minorHAnsi"/>
                <w:b/>
                <w:color w:val="000000" w:themeColor="text1"/>
                <w:lang w:eastAsia="ja-JP"/>
              </w:rPr>
            </w:pPr>
            <w:r>
              <w:rPr>
                <w:rFonts w:cstheme="minorHAnsi"/>
                <w:b/>
                <w:color w:val="000000" w:themeColor="text1"/>
                <w:lang w:eastAsia="ja-JP"/>
              </w:rPr>
              <w:t>Session 6.1.5</w:t>
            </w:r>
          </w:p>
        </w:tc>
      </w:tr>
      <w:tr w:rsidR="00D66730" w:rsidRPr="00422213" w14:paraId="0837F891" w14:textId="77777777" w:rsidTr="416A74D0">
        <w:trPr>
          <w:trHeight w:val="516"/>
        </w:trPr>
        <w:tc>
          <w:tcPr>
            <w:tcW w:w="9083" w:type="dxa"/>
            <w:gridSpan w:val="2"/>
          </w:tcPr>
          <w:p w14:paraId="02AD859A" w14:textId="265E3EDA" w:rsidR="00AF3942" w:rsidRDefault="00ED483F" w:rsidP="0083256E">
            <w:pPr>
              <w:spacing w:after="200" w:line="276" w:lineRule="auto"/>
              <w:rPr>
                <w:lang w:val="fr-CA"/>
              </w:rPr>
            </w:pPr>
            <w:proofErr w:type="spellStart"/>
            <w:r w:rsidRPr="0083256E">
              <w:rPr>
                <w:rFonts w:cstheme="minorHAnsi"/>
                <w:b/>
                <w:color w:val="000000" w:themeColor="text1"/>
                <w:lang w:val="fr-CA"/>
              </w:rPr>
              <w:t>Author</w:t>
            </w:r>
            <w:proofErr w:type="spellEnd"/>
            <w:r w:rsidR="00AF3942" w:rsidRPr="0083256E">
              <w:rPr>
                <w:rFonts w:cstheme="minorHAnsi"/>
                <w:b/>
                <w:color w:val="000000" w:themeColor="text1"/>
                <w:lang w:val="fr-CA" w:eastAsia="ja-JP"/>
              </w:rPr>
              <w:t>:</w:t>
            </w:r>
            <w:r w:rsidR="001138C7" w:rsidRPr="0083256E">
              <w:rPr>
                <w:rFonts w:cstheme="minorHAnsi"/>
                <w:b/>
                <w:color w:val="000000" w:themeColor="text1"/>
                <w:lang w:val="fr-CA" w:eastAsia="ja-JP"/>
              </w:rPr>
              <w:t xml:space="preserve"> </w:t>
            </w:r>
            <w:r w:rsidR="0083256E" w:rsidRPr="00C435CB">
              <w:rPr>
                <w:lang w:val="fr-CA"/>
              </w:rPr>
              <w:t>Julie Brown</w:t>
            </w:r>
            <w:r w:rsidR="00422213" w:rsidRPr="00422213">
              <w:rPr>
                <w:vertAlign w:val="superscript"/>
                <w:lang w:val="fr-CA"/>
              </w:rPr>
              <w:t>1</w:t>
            </w:r>
            <w:r w:rsidR="0083256E" w:rsidRPr="00C435CB">
              <w:rPr>
                <w:lang w:val="fr-CA"/>
              </w:rPr>
              <w:t>, Orsola Lussignoli</w:t>
            </w:r>
            <w:r w:rsidR="00422213" w:rsidRPr="00422213">
              <w:rPr>
                <w:vertAlign w:val="superscript"/>
                <w:lang w:val="fr-CA"/>
              </w:rPr>
              <w:t>2</w:t>
            </w:r>
            <w:r w:rsidR="0083256E" w:rsidRPr="00C435CB">
              <w:rPr>
                <w:lang w:val="fr-CA"/>
              </w:rPr>
              <w:t>, Philippe Lalieux</w:t>
            </w:r>
            <w:r w:rsidR="00422213" w:rsidRPr="00422213">
              <w:rPr>
                <w:vertAlign w:val="superscript"/>
                <w:lang w:val="fr-CA"/>
              </w:rPr>
              <w:t>3</w:t>
            </w:r>
            <w:r w:rsidR="0083256E" w:rsidRPr="00C435CB">
              <w:rPr>
                <w:lang w:val="fr-CA"/>
              </w:rPr>
              <w:t>, Jens Mibus</w:t>
            </w:r>
            <w:r w:rsidR="00422213" w:rsidRPr="00422213">
              <w:rPr>
                <w:vertAlign w:val="superscript"/>
                <w:lang w:val="fr-CA"/>
              </w:rPr>
              <w:t>2</w:t>
            </w:r>
            <w:r w:rsidR="0083256E" w:rsidRPr="00C435CB">
              <w:rPr>
                <w:lang w:val="fr-CA"/>
              </w:rPr>
              <w:t>, Morgan Packer</w:t>
            </w:r>
            <w:r w:rsidR="00E23E10" w:rsidRPr="00E23E10">
              <w:rPr>
                <w:vertAlign w:val="superscript"/>
                <w:lang w:val="fr-CA"/>
              </w:rPr>
              <w:t>4</w:t>
            </w:r>
            <w:r w:rsidR="0083256E" w:rsidRPr="00C435CB">
              <w:rPr>
                <w:lang w:val="fr-CA"/>
              </w:rPr>
              <w:t>, Sylvie Voinis</w:t>
            </w:r>
            <w:r w:rsidR="00E23E10" w:rsidRPr="00E23E10">
              <w:rPr>
                <w:vertAlign w:val="superscript"/>
                <w:lang w:val="fr-CA"/>
              </w:rPr>
              <w:t>5</w:t>
            </w:r>
          </w:p>
          <w:p w14:paraId="5D2F9AF7" w14:textId="77777777" w:rsidR="00422213" w:rsidRDefault="00422213" w:rsidP="00422213">
            <w:pPr>
              <w:pStyle w:val="ListParagraph"/>
              <w:numPr>
                <w:ilvl w:val="0"/>
                <w:numId w:val="6"/>
              </w:numPr>
              <w:rPr>
                <w:lang w:val="en-CA"/>
              </w:rPr>
            </w:pPr>
            <w:r w:rsidRPr="00422213">
              <w:rPr>
                <w:lang w:val="en-CA"/>
              </w:rPr>
              <w:t>Canadian Nuclear Safety Commissio</w:t>
            </w:r>
            <w:r>
              <w:rPr>
                <w:lang w:val="en-CA"/>
              </w:rPr>
              <w:t>n, Canada</w:t>
            </w:r>
          </w:p>
          <w:p w14:paraId="75DF2B83" w14:textId="77777777" w:rsidR="00422213" w:rsidRDefault="00422213" w:rsidP="00422213">
            <w:pPr>
              <w:pStyle w:val="ListParagraph"/>
              <w:numPr>
                <w:ilvl w:val="0"/>
                <w:numId w:val="6"/>
              </w:numPr>
              <w:rPr>
                <w:lang w:val="en-CA"/>
              </w:rPr>
            </w:pPr>
            <w:r>
              <w:rPr>
                <w:lang w:val="en-CA"/>
              </w:rPr>
              <w:t>Federal Office for the Safety of Nuclear Waste Management (BASE), Germany</w:t>
            </w:r>
          </w:p>
          <w:p w14:paraId="75C8C8B5" w14:textId="01142C3E" w:rsidR="00422213" w:rsidRDefault="00422213" w:rsidP="00422213">
            <w:pPr>
              <w:pStyle w:val="ListParagraph"/>
              <w:numPr>
                <w:ilvl w:val="0"/>
                <w:numId w:val="6"/>
              </w:numPr>
              <w:rPr>
                <w:lang w:val="en-CA"/>
              </w:rPr>
            </w:pPr>
            <w:r>
              <w:rPr>
                <w:lang w:val="en-CA"/>
              </w:rPr>
              <w:t>ONDRAF/NIRAS Belgian Radioactive Waste Management Agency, Brussels, Belgium</w:t>
            </w:r>
          </w:p>
          <w:p w14:paraId="7FB60820" w14:textId="7293F910" w:rsidR="00422213" w:rsidRDefault="00422213" w:rsidP="00422213">
            <w:pPr>
              <w:pStyle w:val="ListParagraph"/>
              <w:numPr>
                <w:ilvl w:val="0"/>
                <w:numId w:val="6"/>
              </w:numPr>
              <w:rPr>
                <w:lang w:val="en-CA"/>
              </w:rPr>
            </w:pPr>
            <w:r>
              <w:rPr>
                <w:lang w:val="en-CA"/>
              </w:rPr>
              <w:t>Nuclear Energy Agency (NEA)</w:t>
            </w:r>
          </w:p>
          <w:p w14:paraId="352EB5CE" w14:textId="2922E588" w:rsidR="00422213" w:rsidRDefault="00E23E10" w:rsidP="00422213">
            <w:pPr>
              <w:pStyle w:val="ListParagraph"/>
              <w:numPr>
                <w:ilvl w:val="0"/>
                <w:numId w:val="6"/>
              </w:numPr>
              <w:rPr>
                <w:lang w:val="en-CA"/>
              </w:rPr>
            </w:pPr>
            <w:r>
              <w:rPr>
                <w:lang w:val="en-CA"/>
              </w:rPr>
              <w:t>ANDRA, France</w:t>
            </w:r>
          </w:p>
          <w:p w14:paraId="16CE5060" w14:textId="77777777" w:rsidR="00422213" w:rsidRDefault="00422213" w:rsidP="00422213">
            <w:pPr>
              <w:rPr>
                <w:lang w:val="en-CA"/>
              </w:rPr>
            </w:pPr>
          </w:p>
          <w:p w14:paraId="6BC53966" w14:textId="00B678D6" w:rsidR="00422213" w:rsidRPr="00422213" w:rsidRDefault="00422213" w:rsidP="00422213">
            <w:pPr>
              <w:rPr>
                <w:lang w:val="en-CA"/>
              </w:rPr>
            </w:pPr>
            <w:r>
              <w:rPr>
                <w:lang w:val="en-CA"/>
              </w:rPr>
              <w:t>Corresponding author email: julie.brown@cnsc-ccsn.gc.ca</w:t>
            </w:r>
          </w:p>
        </w:tc>
      </w:tr>
      <w:tr w:rsidR="00D66730" w:rsidRPr="00D66730" w14:paraId="330BCA96" w14:textId="77777777" w:rsidTr="416A74D0">
        <w:trPr>
          <w:trHeight w:val="1067"/>
        </w:trPr>
        <w:tc>
          <w:tcPr>
            <w:tcW w:w="9083" w:type="dxa"/>
            <w:gridSpan w:val="2"/>
          </w:tcPr>
          <w:p w14:paraId="4E5E4DB0" w14:textId="77777777" w:rsidR="009F2632" w:rsidRDefault="009F2632" w:rsidP="009F2632">
            <w:pPr>
              <w:spacing w:before="60" w:after="60"/>
              <w:ind w:right="-187"/>
              <w:rPr>
                <w:rFonts w:cstheme="minorHAnsi"/>
                <w:b/>
                <w:lang w:eastAsia="ja-JP"/>
              </w:rPr>
            </w:pPr>
            <w:r>
              <w:rPr>
                <w:rFonts w:cstheme="minorHAnsi"/>
                <w:b/>
                <w:lang w:eastAsia="ja-JP"/>
              </w:rPr>
              <w:t xml:space="preserve">Abstract </w:t>
            </w:r>
            <w:r>
              <w:rPr>
                <w:rFonts w:cstheme="minorHAnsi"/>
                <w:b/>
              </w:rPr>
              <w:t>Title</w:t>
            </w:r>
            <w:r>
              <w:rPr>
                <w:rFonts w:cstheme="minorHAnsi"/>
                <w:b/>
                <w:lang w:eastAsia="ja-JP"/>
              </w:rPr>
              <w:t>:</w:t>
            </w:r>
          </w:p>
          <w:p w14:paraId="0223D0BE" w14:textId="51012631" w:rsidR="00C60BC5" w:rsidRPr="009F2632" w:rsidRDefault="009F2632" w:rsidP="009F2632">
            <w:pPr>
              <w:spacing w:after="200" w:line="276" w:lineRule="auto"/>
            </w:pPr>
            <w:r>
              <w:rPr>
                <w:sz w:val="23"/>
                <w:szCs w:val="23"/>
              </w:rPr>
              <w:t xml:space="preserve">Shaping a </w:t>
            </w:r>
            <w:r>
              <w:rPr>
                <w:bCs/>
                <w:sz w:val="23"/>
                <w:szCs w:val="23"/>
              </w:rPr>
              <w:t>Generic Roadmap for Regulator-Implementer Dialogue in Licensing Deep Geological Repositories (DGRs)</w:t>
            </w:r>
          </w:p>
        </w:tc>
      </w:tr>
      <w:tr w:rsidR="00D66730" w:rsidRPr="00D66730" w14:paraId="336BE7D3" w14:textId="77777777" w:rsidTr="416A74D0">
        <w:trPr>
          <w:trHeight w:val="3307"/>
        </w:trPr>
        <w:tc>
          <w:tcPr>
            <w:tcW w:w="9083" w:type="dxa"/>
            <w:gridSpan w:val="2"/>
            <w:tcBorders>
              <w:bottom w:val="single" w:sz="4" w:space="0" w:color="auto"/>
            </w:tcBorders>
          </w:tcPr>
          <w:p w14:paraId="07263933" w14:textId="77777777" w:rsidR="009F2632" w:rsidRDefault="009F2632" w:rsidP="009F2632">
            <w:pPr>
              <w:spacing w:before="60" w:after="60"/>
              <w:ind w:right="-187"/>
              <w:rPr>
                <w:rFonts w:cstheme="minorHAnsi"/>
                <w:b/>
                <w:lang w:eastAsia="ja-JP"/>
              </w:rPr>
            </w:pPr>
            <w:r>
              <w:rPr>
                <w:rFonts w:cstheme="minorHAnsi"/>
                <w:b/>
                <w:lang w:eastAsia="ja-JP"/>
              </w:rPr>
              <w:t>Abstract (300-500 words):</w:t>
            </w:r>
          </w:p>
          <w:p w14:paraId="13E908D9" w14:textId="77777777" w:rsidR="009F2632" w:rsidRDefault="009F2632" w:rsidP="009F2632">
            <w:pPr>
              <w:pStyle w:val="Default"/>
              <w:jc w:val="both"/>
              <w:rPr>
                <w:sz w:val="23"/>
                <w:szCs w:val="23"/>
                <w:lang w:val="en-GB"/>
              </w:rPr>
            </w:pPr>
            <w:r>
              <w:rPr>
                <w:sz w:val="23"/>
                <w:szCs w:val="23"/>
                <w:lang w:val="en-GB"/>
              </w:rPr>
              <w:t>The OECD Nuclear Energy Agency (NEA) Expert Group on Building Constructive Dialogues between Regulators and Implementers in Developing Disposal Solutions for Radioactive Waste (RIDD) is developing a generic roadmap towards licensing of DGR facilities, focussing on regulator-implementer dialogue (R-I dialogue).</w:t>
            </w:r>
          </w:p>
          <w:p w14:paraId="6E052D31" w14:textId="77777777" w:rsidR="009F2632" w:rsidRDefault="009F2632" w:rsidP="009F2632">
            <w:pPr>
              <w:pStyle w:val="Default"/>
              <w:jc w:val="both"/>
              <w:rPr>
                <w:sz w:val="23"/>
                <w:szCs w:val="23"/>
                <w:lang w:val="en-GB"/>
              </w:rPr>
            </w:pPr>
          </w:p>
          <w:p w14:paraId="57A3B220" w14:textId="77777777" w:rsidR="009F2632" w:rsidRDefault="009F2632" w:rsidP="009F2632">
            <w:pPr>
              <w:pStyle w:val="Default"/>
              <w:jc w:val="both"/>
              <w:rPr>
                <w:sz w:val="23"/>
                <w:szCs w:val="23"/>
                <w:lang w:val="en-GB"/>
              </w:rPr>
            </w:pPr>
            <w:r>
              <w:rPr>
                <w:sz w:val="23"/>
                <w:szCs w:val="23"/>
                <w:lang w:val="en-GB"/>
              </w:rPr>
              <w:t xml:space="preserve">This roadmap will provide a schematic approach towards licensing based on a series of steps to be combined and rearranged according to respective national frameworks. At each step, a common understanding of what is needed and roles and responsibilities will be defined. This roadmap will provide guidance to ensure regulatory independence is maintained and balanced with regulatory involvement. Safety case development has a central role in this interaction, via an expected feedback loop, to ensure both regulatory readiness for reviews and that licensing requirements are understood. Safety case development aspects will be informed by the NEA Integration Group for the Safety Case (IGSC) </w:t>
            </w:r>
            <w:proofErr w:type="spellStart"/>
            <w:r>
              <w:rPr>
                <w:sz w:val="23"/>
                <w:szCs w:val="23"/>
                <w:lang w:val="en-GB"/>
              </w:rPr>
              <w:t>GeneSIS</w:t>
            </w:r>
            <w:proofErr w:type="spellEnd"/>
            <w:r>
              <w:rPr>
                <w:sz w:val="23"/>
                <w:szCs w:val="23"/>
                <w:lang w:val="en-GB"/>
              </w:rPr>
              <w:t xml:space="preserve"> initiative.</w:t>
            </w:r>
          </w:p>
          <w:p w14:paraId="16C93662" w14:textId="77777777" w:rsidR="009F2632" w:rsidRDefault="009F2632" w:rsidP="009F2632">
            <w:pPr>
              <w:pStyle w:val="Default"/>
              <w:jc w:val="both"/>
              <w:rPr>
                <w:sz w:val="23"/>
                <w:szCs w:val="23"/>
                <w:lang w:val="en-GB"/>
              </w:rPr>
            </w:pPr>
          </w:p>
          <w:p w14:paraId="09803614" w14:textId="01D46A4C" w:rsidR="009F2632" w:rsidRDefault="009F2632" w:rsidP="009F2632">
            <w:pPr>
              <w:pStyle w:val="Default"/>
              <w:jc w:val="both"/>
              <w:rPr>
                <w:sz w:val="23"/>
                <w:szCs w:val="23"/>
                <w:lang w:val="en-GB"/>
              </w:rPr>
            </w:pPr>
            <w:r>
              <w:rPr>
                <w:sz w:val="23"/>
                <w:szCs w:val="23"/>
                <w:lang w:val="en-GB"/>
              </w:rPr>
              <w:t>The roadmap will build upon the first RIDD report</w:t>
            </w:r>
            <w:r w:rsidRPr="009F2632">
              <w:rPr>
                <w:sz w:val="23"/>
                <w:szCs w:val="23"/>
                <w:vertAlign w:val="superscript"/>
                <w:lang w:val="en-GB"/>
              </w:rPr>
              <w:t>1</w:t>
            </w:r>
            <w:r>
              <w:rPr>
                <w:sz w:val="23"/>
                <w:szCs w:val="23"/>
                <w:lang w:val="en-GB"/>
              </w:rPr>
              <w:t>, and on the outcomes of a recent workshop</w:t>
            </w:r>
            <w:r w:rsidRPr="009F2632">
              <w:rPr>
                <w:sz w:val="23"/>
                <w:szCs w:val="23"/>
                <w:vertAlign w:val="superscript"/>
                <w:lang w:val="en-GB"/>
              </w:rPr>
              <w:t>2</w:t>
            </w:r>
            <w:r>
              <w:rPr>
                <w:sz w:val="23"/>
                <w:szCs w:val="23"/>
                <w:lang w:val="en-GB"/>
              </w:rPr>
              <w:t xml:space="preserve">. Some of the RIDD report’s main outcomes include: </w:t>
            </w:r>
          </w:p>
          <w:p w14:paraId="16A74462" w14:textId="77777777" w:rsidR="009F2632" w:rsidRDefault="009F2632" w:rsidP="009F2632">
            <w:pPr>
              <w:pStyle w:val="Default"/>
              <w:numPr>
                <w:ilvl w:val="0"/>
                <w:numId w:val="4"/>
              </w:numPr>
              <w:jc w:val="both"/>
              <w:rPr>
                <w:sz w:val="23"/>
                <w:szCs w:val="23"/>
                <w:lang w:val="en-GB"/>
              </w:rPr>
            </w:pPr>
            <w:r>
              <w:rPr>
                <w:sz w:val="23"/>
                <w:szCs w:val="23"/>
                <w:lang w:val="en-US"/>
              </w:rPr>
              <w:t>R-I dialogue will pave the way towards licensing.</w:t>
            </w:r>
          </w:p>
          <w:p w14:paraId="29F71009" w14:textId="77777777" w:rsidR="009F2632" w:rsidRDefault="009F2632" w:rsidP="009F2632">
            <w:pPr>
              <w:pStyle w:val="Default"/>
              <w:numPr>
                <w:ilvl w:val="0"/>
                <w:numId w:val="4"/>
              </w:numPr>
              <w:jc w:val="both"/>
              <w:rPr>
                <w:sz w:val="23"/>
                <w:szCs w:val="23"/>
                <w:lang w:val="en-GB"/>
              </w:rPr>
            </w:pPr>
            <w:r>
              <w:rPr>
                <w:sz w:val="23"/>
                <w:szCs w:val="23"/>
                <w:lang w:val="en-US"/>
              </w:rPr>
              <w:t>Dialogue should start as early as possible in the pre-licensing process</w:t>
            </w:r>
          </w:p>
          <w:p w14:paraId="062EF819" w14:textId="77777777" w:rsidR="009F2632" w:rsidRDefault="009F2632" w:rsidP="009F2632">
            <w:pPr>
              <w:pStyle w:val="Default"/>
              <w:numPr>
                <w:ilvl w:val="0"/>
                <w:numId w:val="4"/>
              </w:numPr>
              <w:jc w:val="both"/>
              <w:rPr>
                <w:sz w:val="23"/>
                <w:szCs w:val="23"/>
                <w:lang w:val="en-GB"/>
              </w:rPr>
            </w:pPr>
            <w:r>
              <w:rPr>
                <w:sz w:val="23"/>
                <w:szCs w:val="23"/>
                <w:lang w:val="en-US"/>
              </w:rPr>
              <w:t>Dialogue should encompass both formal and informal approaches throughout a stepwise process – forming part of an overarching governance that is clearly acknowledged and communicated.</w:t>
            </w:r>
          </w:p>
          <w:p w14:paraId="52F08DDB" w14:textId="77777777" w:rsidR="009F2632" w:rsidRDefault="009F2632" w:rsidP="009F2632">
            <w:pPr>
              <w:pStyle w:val="Default"/>
              <w:numPr>
                <w:ilvl w:val="0"/>
                <w:numId w:val="4"/>
              </w:numPr>
              <w:jc w:val="both"/>
              <w:rPr>
                <w:sz w:val="23"/>
                <w:szCs w:val="23"/>
                <w:lang w:val="en-GB"/>
              </w:rPr>
            </w:pPr>
            <w:r>
              <w:rPr>
                <w:sz w:val="23"/>
                <w:szCs w:val="23"/>
                <w:lang w:val="en-US"/>
              </w:rPr>
              <w:t>Attitudes and behaviors play a major role in the effectiveness of the dialogue (e.g. mutual transparency, confidence, respect).</w:t>
            </w:r>
          </w:p>
          <w:p w14:paraId="717EDBEE" w14:textId="77777777" w:rsidR="009F2632" w:rsidRDefault="009F2632" w:rsidP="009F2632">
            <w:pPr>
              <w:pStyle w:val="Default"/>
              <w:numPr>
                <w:ilvl w:val="0"/>
                <w:numId w:val="4"/>
              </w:numPr>
              <w:jc w:val="both"/>
              <w:rPr>
                <w:sz w:val="23"/>
                <w:szCs w:val="23"/>
                <w:lang w:val="en-GB"/>
              </w:rPr>
            </w:pPr>
            <w:r>
              <w:rPr>
                <w:sz w:val="23"/>
                <w:szCs w:val="23"/>
                <w:lang w:val="en-US"/>
              </w:rPr>
              <w:t>Regulatory independence enables a sound basis for R-I dialogue development.</w:t>
            </w:r>
          </w:p>
          <w:p w14:paraId="370D7FA3" w14:textId="77777777" w:rsidR="009F2632" w:rsidRDefault="009F2632" w:rsidP="009F2632">
            <w:pPr>
              <w:pStyle w:val="Default"/>
              <w:jc w:val="both"/>
              <w:rPr>
                <w:sz w:val="23"/>
                <w:szCs w:val="23"/>
                <w:lang w:val="en-GB"/>
              </w:rPr>
            </w:pPr>
          </w:p>
          <w:p w14:paraId="005E63C3" w14:textId="716E2D88" w:rsidR="009F2632" w:rsidRDefault="009F2632" w:rsidP="009F2632">
            <w:pPr>
              <w:pStyle w:val="Default"/>
              <w:jc w:val="both"/>
              <w:rPr>
                <w:sz w:val="23"/>
                <w:szCs w:val="23"/>
                <w:lang w:val="en-GB"/>
              </w:rPr>
            </w:pPr>
            <w:r>
              <w:rPr>
                <w:sz w:val="23"/>
                <w:szCs w:val="23"/>
                <w:lang w:val="en-GB"/>
              </w:rPr>
              <w:t>The Workshop</w:t>
            </w:r>
            <w:r w:rsidRPr="009F2632">
              <w:rPr>
                <w:sz w:val="23"/>
                <w:szCs w:val="23"/>
                <w:vertAlign w:val="superscript"/>
                <w:lang w:val="en-GB"/>
              </w:rPr>
              <w:t>2</w:t>
            </w:r>
            <w:r>
              <w:rPr>
                <w:sz w:val="23"/>
                <w:szCs w:val="23"/>
                <w:lang w:val="en-GB"/>
              </w:rPr>
              <w:t xml:space="preserve"> provided a platform to deepen the discussion. </w:t>
            </w:r>
            <w:r>
              <w:rPr>
                <w:bCs/>
                <w:sz w:val="23"/>
                <w:szCs w:val="23"/>
                <w:lang w:val="en-GB"/>
              </w:rPr>
              <w:t>Some key preliminary workshop outcomes include:</w:t>
            </w:r>
          </w:p>
          <w:p w14:paraId="4025E171" w14:textId="77777777" w:rsidR="009F2632" w:rsidRDefault="009F2632" w:rsidP="009F2632">
            <w:pPr>
              <w:pStyle w:val="Default"/>
              <w:numPr>
                <w:ilvl w:val="0"/>
                <w:numId w:val="5"/>
              </w:numPr>
              <w:jc w:val="both"/>
              <w:rPr>
                <w:sz w:val="23"/>
                <w:szCs w:val="23"/>
                <w:lang w:val="en-US"/>
              </w:rPr>
            </w:pPr>
            <w:r>
              <w:rPr>
                <w:sz w:val="23"/>
                <w:szCs w:val="23"/>
                <w:lang w:val="en-US"/>
              </w:rPr>
              <w:t xml:space="preserve">The need to establish and formulate a common goal between regulator and implementer towards ensuring a “safe DGR”. </w:t>
            </w:r>
          </w:p>
          <w:p w14:paraId="77A342AE" w14:textId="77777777" w:rsidR="009F2632" w:rsidRDefault="009F2632" w:rsidP="009F2632">
            <w:pPr>
              <w:pStyle w:val="Default"/>
              <w:numPr>
                <w:ilvl w:val="0"/>
                <w:numId w:val="5"/>
              </w:numPr>
              <w:jc w:val="both"/>
              <w:rPr>
                <w:sz w:val="23"/>
                <w:szCs w:val="23"/>
                <w:lang w:val="en-US"/>
              </w:rPr>
            </w:pPr>
            <w:r>
              <w:rPr>
                <w:sz w:val="23"/>
                <w:szCs w:val="23"/>
                <w:lang w:val="en-US"/>
              </w:rPr>
              <w:t xml:space="preserve">R-I dialogue should consider other relevant stakeholders, other regulatory bodies (e.g. environmental, mining). </w:t>
            </w:r>
          </w:p>
          <w:p w14:paraId="3F49310B" w14:textId="2A86276D" w:rsidR="009F2632" w:rsidRPr="009F2632" w:rsidRDefault="009F2632" w:rsidP="009F2632">
            <w:pPr>
              <w:pStyle w:val="Default"/>
              <w:numPr>
                <w:ilvl w:val="0"/>
                <w:numId w:val="5"/>
              </w:numPr>
              <w:jc w:val="both"/>
              <w:rPr>
                <w:sz w:val="23"/>
                <w:szCs w:val="23"/>
                <w:lang w:val="en-US"/>
              </w:rPr>
            </w:pPr>
            <w:r w:rsidRPr="009F2632">
              <w:rPr>
                <w:sz w:val="23"/>
                <w:szCs w:val="23"/>
                <w:lang w:val="en-US"/>
              </w:rPr>
              <w:t>Timing is key: postponing R-I dialogue/decisions could lead to a loss of confidence and trust of key stakeholders.</w:t>
            </w:r>
          </w:p>
          <w:p w14:paraId="6EAC6BF8" w14:textId="77777777" w:rsidR="009F2632" w:rsidRDefault="009F2632" w:rsidP="009F2632">
            <w:pPr>
              <w:pStyle w:val="Default"/>
              <w:jc w:val="both"/>
              <w:rPr>
                <w:sz w:val="23"/>
                <w:szCs w:val="23"/>
                <w:lang w:val="en-GB"/>
              </w:rPr>
            </w:pPr>
          </w:p>
          <w:p w14:paraId="42A8C742" w14:textId="77777777" w:rsidR="009F2632" w:rsidRDefault="009F2632" w:rsidP="009F2632">
            <w:pPr>
              <w:pStyle w:val="Default"/>
              <w:jc w:val="both"/>
              <w:rPr>
                <w:sz w:val="23"/>
                <w:szCs w:val="23"/>
                <w:lang w:val="en-GB"/>
              </w:rPr>
            </w:pPr>
            <w:r>
              <w:rPr>
                <w:sz w:val="23"/>
                <w:szCs w:val="23"/>
                <w:lang w:val="en-US"/>
              </w:rPr>
              <w:lastRenderedPageBreak/>
              <w:t>Beyond establishing adequate governance structures, attitudes and how roles are fulfilled by the implementer and regulator is important.</w:t>
            </w:r>
            <w:r>
              <w:rPr>
                <w:sz w:val="23"/>
                <w:szCs w:val="23"/>
                <w:lang w:val="en-GB"/>
              </w:rPr>
              <w:t xml:space="preserve"> For instance, </w:t>
            </w:r>
            <w:r>
              <w:rPr>
                <w:sz w:val="23"/>
                <w:szCs w:val="23"/>
                <w:lang w:val="en-US"/>
              </w:rPr>
              <w:t xml:space="preserve">regulatory independence does not equate to isolation. Constructive dialogue is vital to ensuring safety and best possible outcomes. </w:t>
            </w:r>
            <w:r>
              <w:rPr>
                <w:sz w:val="23"/>
                <w:szCs w:val="23"/>
                <w:lang w:val="en-GB"/>
              </w:rPr>
              <w:t xml:space="preserve">It is equally necessary to create a shared understanding of common needs and challenges throughout the pre-licensing process. </w:t>
            </w:r>
          </w:p>
          <w:p w14:paraId="5FF0FAA7" w14:textId="77777777" w:rsidR="009F2632" w:rsidRDefault="009F2632" w:rsidP="009F2632">
            <w:pPr>
              <w:pStyle w:val="Default"/>
              <w:jc w:val="both"/>
              <w:rPr>
                <w:sz w:val="23"/>
                <w:szCs w:val="23"/>
                <w:lang w:val="en-GB"/>
              </w:rPr>
            </w:pPr>
          </w:p>
          <w:p w14:paraId="3ACCC40A" w14:textId="2ECA4F7F" w:rsidR="009F2632" w:rsidRDefault="009F2632" w:rsidP="009F2632">
            <w:pPr>
              <w:pStyle w:val="Default"/>
              <w:jc w:val="both"/>
              <w:rPr>
                <w:sz w:val="23"/>
                <w:szCs w:val="23"/>
                <w:lang w:val="en-US"/>
              </w:rPr>
            </w:pPr>
            <w:r>
              <w:rPr>
                <w:sz w:val="23"/>
                <w:szCs w:val="23"/>
                <w:lang w:val="en-US"/>
              </w:rPr>
              <w:t>Defining and communicating milestones is critical for a focused, efficient pre-licensing process that supports continuity of involvement and expertise,</w:t>
            </w:r>
            <w:r w:rsidR="002C45E7">
              <w:rPr>
                <w:sz w:val="23"/>
                <w:szCs w:val="23"/>
                <w:lang w:val="en-US"/>
              </w:rPr>
              <w:t xml:space="preserve"> </w:t>
            </w:r>
            <w:r>
              <w:rPr>
                <w:sz w:val="23"/>
                <w:szCs w:val="23"/>
                <w:lang w:val="en-US"/>
              </w:rPr>
              <w:t>and informs license application preparation.</w:t>
            </w:r>
          </w:p>
          <w:p w14:paraId="5C8998A2" w14:textId="77777777" w:rsidR="009F2632" w:rsidRDefault="009F2632" w:rsidP="009F2632">
            <w:pPr>
              <w:pStyle w:val="Default"/>
              <w:jc w:val="both"/>
              <w:rPr>
                <w:sz w:val="23"/>
                <w:szCs w:val="23"/>
                <w:lang w:val="en-US"/>
              </w:rPr>
            </w:pPr>
          </w:p>
          <w:p w14:paraId="25B1795C" w14:textId="77777777" w:rsidR="009F2632" w:rsidRDefault="009F2632" w:rsidP="009F2632">
            <w:pPr>
              <w:pStyle w:val="Default"/>
              <w:jc w:val="both"/>
              <w:rPr>
                <w:sz w:val="23"/>
                <w:szCs w:val="23"/>
                <w:lang w:val="en-US"/>
              </w:rPr>
            </w:pPr>
            <w:r>
              <w:rPr>
                <w:sz w:val="23"/>
                <w:szCs w:val="23"/>
                <w:lang w:val="en-US"/>
              </w:rPr>
              <w:t xml:space="preserve">Among national DGR </w:t>
            </w:r>
            <w:proofErr w:type="spellStart"/>
            <w:r>
              <w:rPr>
                <w:sz w:val="23"/>
                <w:szCs w:val="23"/>
                <w:lang w:val="en-US"/>
              </w:rPr>
              <w:t>programmes</w:t>
            </w:r>
            <w:proofErr w:type="spellEnd"/>
            <w:r>
              <w:rPr>
                <w:sz w:val="23"/>
                <w:szCs w:val="23"/>
                <w:lang w:val="en-US"/>
              </w:rPr>
              <w:t>, a range of pre-licensing approaches exists. Examples provided during the Workshop</w:t>
            </w:r>
            <w:r>
              <w:rPr>
                <w:sz w:val="23"/>
                <w:szCs w:val="23"/>
                <w:vertAlign w:val="superscript"/>
                <w:lang w:val="en-US"/>
              </w:rPr>
              <w:t>2</w:t>
            </w:r>
            <w:r>
              <w:rPr>
                <w:sz w:val="23"/>
                <w:szCs w:val="23"/>
                <w:lang w:val="en-US"/>
              </w:rPr>
              <w:t xml:space="preserve"> showed that typical pre-licensing steps can be defined, with supporting documentation such as regulatory framework establishment, R&amp;D </w:t>
            </w:r>
            <w:proofErr w:type="spellStart"/>
            <w:r>
              <w:rPr>
                <w:sz w:val="23"/>
                <w:szCs w:val="23"/>
                <w:lang w:val="en-US"/>
              </w:rPr>
              <w:t>programmes</w:t>
            </w:r>
            <w:proofErr w:type="spellEnd"/>
            <w:r>
              <w:rPr>
                <w:sz w:val="23"/>
                <w:szCs w:val="23"/>
                <w:lang w:val="en-US"/>
              </w:rPr>
              <w:t>, phenomenological bases, evolving safety cases, design information, strategic environmental assessment, and more.</w:t>
            </w:r>
          </w:p>
          <w:p w14:paraId="24899797" w14:textId="77777777" w:rsidR="009F2632" w:rsidRDefault="009F2632" w:rsidP="009F2632">
            <w:pPr>
              <w:pStyle w:val="Default"/>
              <w:jc w:val="both"/>
              <w:rPr>
                <w:rFonts w:ascii="Real Text Pro" w:hAnsi="Real Text Pro" w:cstheme="minorBidi"/>
                <w:color w:val="auto"/>
                <w:sz w:val="18"/>
                <w:szCs w:val="22"/>
                <w:lang w:val="en-US"/>
                <w14:numForm w14:val="lining"/>
              </w:rPr>
            </w:pPr>
          </w:p>
          <w:p w14:paraId="631F4BB8" w14:textId="722B845C" w:rsidR="009F2632" w:rsidRPr="009F2632" w:rsidRDefault="009F2632" w:rsidP="009F2632">
            <w:pPr>
              <w:pStyle w:val="Default"/>
              <w:jc w:val="both"/>
              <w:rPr>
                <w:sz w:val="23"/>
                <w:szCs w:val="23"/>
                <w:lang w:val="en-US"/>
              </w:rPr>
            </w:pPr>
            <w:r>
              <w:rPr>
                <w:sz w:val="23"/>
                <w:szCs w:val="23"/>
                <w:lang w:val="en-US"/>
              </w:rPr>
              <w:t xml:space="preserve">Based on collected materials and with the support of relevant NEA working groups, notably the IGSC </w:t>
            </w:r>
            <w:proofErr w:type="spellStart"/>
            <w:r>
              <w:rPr>
                <w:sz w:val="23"/>
                <w:szCs w:val="23"/>
                <w:lang w:val="en-US"/>
              </w:rPr>
              <w:t>GeneSIS</w:t>
            </w:r>
            <w:proofErr w:type="spellEnd"/>
            <w:r>
              <w:rPr>
                <w:sz w:val="23"/>
                <w:szCs w:val="23"/>
                <w:lang w:val="en-US"/>
              </w:rPr>
              <w:t xml:space="preserve"> initiative, the roadmap will be further developed.</w:t>
            </w:r>
          </w:p>
          <w:p w14:paraId="4D9554A5" w14:textId="77777777" w:rsidR="009F2632" w:rsidRDefault="009F2632" w:rsidP="009F2632">
            <w:pPr>
              <w:pStyle w:val="Default"/>
              <w:jc w:val="both"/>
              <w:rPr>
                <w:sz w:val="23"/>
                <w:szCs w:val="23"/>
                <w:lang w:val="en-GB"/>
              </w:rPr>
            </w:pPr>
          </w:p>
          <w:p w14:paraId="3FAC9C2F" w14:textId="77777777" w:rsidR="009F2632" w:rsidRPr="009F2632" w:rsidRDefault="009F2632" w:rsidP="009F2632">
            <w:pPr>
              <w:pStyle w:val="FootnoteText"/>
            </w:pPr>
            <w:r>
              <w:rPr>
                <w:rStyle w:val="FootnoteReference"/>
              </w:rPr>
              <w:footnoteRef/>
            </w:r>
            <w:r>
              <w:t xml:space="preserve"> </w:t>
            </w:r>
            <w:r w:rsidRPr="009F2632">
              <w:t>Building Constructive Dialogues Between Regulators and Implementers During the Pre-Licensing Phase of Deep Geological Repository Development, NEA/RWM/R(2022)4, OECD/NEA, January 2024</w:t>
            </w:r>
          </w:p>
          <w:p w14:paraId="3B1F6D30" w14:textId="5BF0976E" w:rsidR="009F2632" w:rsidRPr="009F2632" w:rsidRDefault="009F2632" w:rsidP="009F2632">
            <w:pPr>
              <w:pStyle w:val="Default"/>
              <w:jc w:val="both"/>
              <w:rPr>
                <w:sz w:val="20"/>
                <w:szCs w:val="20"/>
                <w:lang w:val="en-GB"/>
              </w:rPr>
            </w:pPr>
            <w:r w:rsidRPr="009F2632">
              <w:rPr>
                <w:rStyle w:val="FootnoteReference"/>
                <w:sz w:val="20"/>
                <w:szCs w:val="20"/>
                <w:lang w:val="en-GB"/>
              </w:rPr>
              <w:footnoteRef/>
            </w:r>
            <w:r w:rsidRPr="009F2632">
              <w:rPr>
                <w:sz w:val="20"/>
                <w:szCs w:val="20"/>
                <w:lang w:val="en-GB"/>
              </w:rPr>
              <w:t xml:space="preserve"> Roadmap towards DGR Licensing: Enhancing Regulator-Implementer Dialogue, NEA RIDD Workshop, hosted by BASE in Berlin, Germany on 23-26 January 2024</w:t>
            </w:r>
          </w:p>
          <w:p w14:paraId="6667B3DC" w14:textId="04471DFC" w:rsidR="0083256E" w:rsidRPr="00F63BEE" w:rsidRDefault="0083256E" w:rsidP="009F2632">
            <w:pPr>
              <w:pStyle w:val="Default"/>
              <w:jc w:val="both"/>
              <w:rPr>
                <w:rFonts w:hint="eastAsia"/>
                <w:sz w:val="23"/>
                <w:szCs w:val="23"/>
                <w:lang w:val="en-GB" w:eastAsia="zh-CN"/>
              </w:rPr>
            </w:pPr>
          </w:p>
        </w:tc>
      </w:tr>
    </w:tbl>
    <w:p w14:paraId="3DB85F1E" w14:textId="77777777" w:rsidR="00ED483F" w:rsidRPr="00D66730" w:rsidRDefault="00ED483F" w:rsidP="00C60BC5">
      <w:pPr>
        <w:spacing w:after="0" w:line="240" w:lineRule="auto"/>
        <w:ind w:right="-188"/>
        <w:rPr>
          <w:rFonts w:cstheme="minorHAnsi"/>
          <w:b/>
          <w:color w:val="EEECE1" w:themeColor="background2"/>
          <w:lang w:eastAsia="ja-JP"/>
        </w:rPr>
      </w:pPr>
    </w:p>
    <w:sectPr w:rsidR="00ED483F" w:rsidRPr="00D66730" w:rsidSect="00A13799">
      <w:pgSz w:w="11906" w:h="16838"/>
      <w:pgMar w:top="56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76B7D" w14:textId="77777777" w:rsidR="005E43FE" w:rsidRDefault="005E43FE" w:rsidP="00AF3942">
      <w:pPr>
        <w:spacing w:after="0" w:line="240" w:lineRule="auto"/>
      </w:pPr>
      <w:r>
        <w:separator/>
      </w:r>
    </w:p>
  </w:endnote>
  <w:endnote w:type="continuationSeparator" w:id="0">
    <w:p w14:paraId="2230FDCF" w14:textId="77777777" w:rsidR="005E43FE" w:rsidRDefault="005E43FE"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eal Text Pro">
    <w:altName w:val="Calibri"/>
    <w:charset w:val="00"/>
    <w:family w:val="swiss"/>
    <w:pitch w:val="variable"/>
    <w:sig w:usb0="A000006F" w:usb1="0200E479"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0AC8F" w14:textId="77777777" w:rsidR="005E43FE" w:rsidRDefault="005E43FE" w:rsidP="00AF3942">
      <w:pPr>
        <w:spacing w:after="0" w:line="240" w:lineRule="auto"/>
      </w:pPr>
      <w:r>
        <w:separator/>
      </w:r>
    </w:p>
  </w:footnote>
  <w:footnote w:type="continuationSeparator" w:id="0">
    <w:p w14:paraId="186DBA37" w14:textId="77777777" w:rsidR="005E43FE" w:rsidRDefault="005E43FE"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2DFC"/>
    <w:multiLevelType w:val="hybridMultilevel"/>
    <w:tmpl w:val="C3120D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C15EE0"/>
    <w:multiLevelType w:val="hybridMultilevel"/>
    <w:tmpl w:val="DE0CF4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B4B2575"/>
    <w:multiLevelType w:val="hybridMultilevel"/>
    <w:tmpl w:val="1D30314A"/>
    <w:lvl w:ilvl="0" w:tplc="1BB4362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3284173">
    <w:abstractNumId w:val="4"/>
  </w:num>
  <w:num w:numId="2" w16cid:durableId="1627541623">
    <w:abstractNumId w:val="3"/>
  </w:num>
  <w:num w:numId="3" w16cid:durableId="612253574">
    <w:abstractNumId w:val="5"/>
  </w:num>
  <w:num w:numId="4" w16cid:durableId="1990161887">
    <w:abstractNumId w:val="0"/>
  </w:num>
  <w:num w:numId="5" w16cid:durableId="1214346996">
    <w:abstractNumId w:val="2"/>
  </w:num>
  <w:num w:numId="6" w16cid:durableId="1868176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s>
  <w:rsids>
    <w:rsidRoot w:val="00ED483F"/>
    <w:rsid w:val="00006677"/>
    <w:rsid w:val="0008054B"/>
    <w:rsid w:val="001138C7"/>
    <w:rsid w:val="001215B8"/>
    <w:rsid w:val="0024518F"/>
    <w:rsid w:val="00285532"/>
    <w:rsid w:val="002B0699"/>
    <w:rsid w:val="002C45E7"/>
    <w:rsid w:val="002C48DA"/>
    <w:rsid w:val="003D606A"/>
    <w:rsid w:val="00422213"/>
    <w:rsid w:val="00443E2F"/>
    <w:rsid w:val="00506CBF"/>
    <w:rsid w:val="005208E7"/>
    <w:rsid w:val="005E43FE"/>
    <w:rsid w:val="0067177D"/>
    <w:rsid w:val="006D2B07"/>
    <w:rsid w:val="0077682E"/>
    <w:rsid w:val="007D2FB5"/>
    <w:rsid w:val="007E39C3"/>
    <w:rsid w:val="0083256E"/>
    <w:rsid w:val="00902DE2"/>
    <w:rsid w:val="009249FD"/>
    <w:rsid w:val="009C3C04"/>
    <w:rsid w:val="009F2632"/>
    <w:rsid w:val="00A13799"/>
    <w:rsid w:val="00AF3942"/>
    <w:rsid w:val="00B22E8F"/>
    <w:rsid w:val="00C60BC5"/>
    <w:rsid w:val="00CD5585"/>
    <w:rsid w:val="00D317C6"/>
    <w:rsid w:val="00D66730"/>
    <w:rsid w:val="00D7639A"/>
    <w:rsid w:val="00D843F2"/>
    <w:rsid w:val="00DB6830"/>
    <w:rsid w:val="00E23E10"/>
    <w:rsid w:val="00ED483F"/>
    <w:rsid w:val="00F63BEE"/>
    <w:rsid w:val="00FD7A18"/>
    <w:rsid w:val="416A74D0"/>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8C127"/>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customStyle="1" w:styleId="Default">
    <w:name w:val="Default"/>
    <w:rsid w:val="0083256E"/>
    <w:pPr>
      <w:autoSpaceDE w:val="0"/>
      <w:autoSpaceDN w:val="0"/>
      <w:adjustRightInd w:val="0"/>
      <w:spacing w:after="0" w:line="240" w:lineRule="auto"/>
    </w:pPr>
    <w:rPr>
      <w:rFonts w:ascii="Calibri" w:hAnsi="Calibri" w:cs="Calibri"/>
      <w:color w:val="000000"/>
      <w:sz w:val="24"/>
      <w:szCs w:val="24"/>
      <w:lang w:val="de-DE"/>
    </w:rPr>
  </w:style>
  <w:style w:type="paragraph" w:styleId="IntenseQuote">
    <w:name w:val="Intense Quote"/>
    <w:basedOn w:val="Normal"/>
    <w:next w:val="Normal"/>
    <w:link w:val="IntenseQuoteChar"/>
    <w:uiPriority w:val="30"/>
    <w:qFormat/>
    <w:rsid w:val="009F2632"/>
    <w:pPr>
      <w:pBdr>
        <w:top w:val="single" w:sz="4" w:space="10" w:color="4F81BD" w:themeColor="accent1"/>
        <w:bottom w:val="single" w:sz="4" w:space="10" w:color="4F81BD" w:themeColor="accent1"/>
      </w:pBdr>
      <w:spacing w:before="360" w:after="360" w:line="260" w:lineRule="atLeast"/>
      <w:ind w:left="864" w:right="864"/>
      <w:jc w:val="center"/>
    </w:pPr>
    <w:rPr>
      <w:rFonts w:ascii="Real Text Pro" w:hAnsi="Real Text Pro"/>
      <w:i/>
      <w:iCs/>
      <w:color w:val="000000" w:themeColor="text1"/>
      <w:sz w:val="18"/>
      <w:lang w:val="de-DE"/>
      <w14:numForm w14:val="lining"/>
    </w:rPr>
  </w:style>
  <w:style w:type="character" w:customStyle="1" w:styleId="IntenseQuoteChar">
    <w:name w:val="Intense Quote Char"/>
    <w:basedOn w:val="DefaultParagraphFont"/>
    <w:link w:val="IntenseQuote"/>
    <w:uiPriority w:val="30"/>
    <w:rsid w:val="009F2632"/>
    <w:rPr>
      <w:rFonts w:ascii="Real Text Pro" w:hAnsi="Real Text Pro"/>
      <w:i/>
      <w:iCs/>
      <w:color w:val="000000" w:themeColor="text1"/>
      <w:sz w:val="18"/>
      <w:lang w:val="de-DE"/>
      <w14:numForm w14:val="lin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851779">
      <w:bodyDiv w:val="1"/>
      <w:marLeft w:val="0"/>
      <w:marRight w:val="0"/>
      <w:marTop w:val="0"/>
      <w:marBottom w:val="0"/>
      <w:divBdr>
        <w:top w:val="none" w:sz="0" w:space="0" w:color="auto"/>
        <w:left w:val="none" w:sz="0" w:space="0" w:color="auto"/>
        <w:bottom w:val="none" w:sz="0" w:space="0" w:color="auto"/>
        <w:right w:val="none" w:sz="0" w:space="0" w:color="auto"/>
      </w:divBdr>
    </w:div>
    <w:div w:id="794910146">
      <w:bodyDiv w:val="1"/>
      <w:marLeft w:val="0"/>
      <w:marRight w:val="0"/>
      <w:marTop w:val="0"/>
      <w:marBottom w:val="0"/>
      <w:divBdr>
        <w:top w:val="none" w:sz="0" w:space="0" w:color="auto"/>
        <w:left w:val="none" w:sz="0" w:space="0" w:color="auto"/>
        <w:bottom w:val="none" w:sz="0" w:space="0" w:color="auto"/>
        <w:right w:val="none" w:sz="0" w:space="0" w:color="auto"/>
      </w:divBdr>
    </w:div>
    <w:div w:id="1905219628">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3396A-64E7-41AF-957E-7A9518AFB9B7}">
  <ds:schemaRefs>
    <ds:schemaRef ds:uri="http://schemas.microsoft.com/sharepoint/v3/contenttype/forms"/>
  </ds:schemaRefs>
</ds:datastoreItem>
</file>

<file path=customXml/itemProps2.xml><?xml version="1.0" encoding="utf-8"?>
<ds:datastoreItem xmlns:ds="http://schemas.openxmlformats.org/officeDocument/2006/customXml" ds:itemID="{0E552F18-BB48-4B0A-A04A-4B52C2301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0F10A6-F982-4AD2-9C35-223F61D86E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EB301-587C-445D-90CC-C0DA1F27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3722</Characters>
  <Application>Microsoft Office Word</Application>
  <DocSecurity>0</DocSecurity>
  <Lines>80</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4</cp:revision>
  <dcterms:created xsi:type="dcterms:W3CDTF">2024-05-15T12:58:00Z</dcterms:created>
  <dcterms:modified xsi:type="dcterms:W3CDTF">2024-05-20T11:35:00Z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a2fd20b8c41103c18eeb1bf633a304a4629ac0ef69f2935db277ed71a75791ba</vt:lpwstr>
  </property>
  <property fmtid="{D5CDD505-2E9C-101B-9397-08002B2CF9AE}" pid="3" name="ContentTypeId">
    <vt:lpwstr>0x01010002FAEBA6069C9F458C0085404E0C5FFE</vt:lpwstr>
  </property>
</Properties>
</file>