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62640EE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62377452" w:rsidR="00ED483F" w:rsidRPr="00CB2D0D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zh-CN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CB2D0D">
              <w:rPr>
                <w:rFonts w:cstheme="minorHAnsi" w:hint="eastAsia"/>
                <w:b/>
                <w:color w:val="000000" w:themeColor="text1"/>
                <w:lang w:eastAsia="zh-CN"/>
              </w:rPr>
              <w:t>59</w:t>
            </w:r>
          </w:p>
        </w:tc>
        <w:tc>
          <w:tcPr>
            <w:tcW w:w="3376" w:type="dxa"/>
          </w:tcPr>
          <w:p w14:paraId="65329394" w14:textId="22022101" w:rsidR="00ED483F" w:rsidRPr="00D66730" w:rsidRDefault="00E43BD6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>Poster P7.1.11</w:t>
            </w:r>
          </w:p>
        </w:tc>
      </w:tr>
      <w:tr w:rsidR="00D66730" w:rsidRPr="00D66730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77777777" w:rsidR="00C60BC5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0123A0DB" w14:textId="77777777" w:rsidR="00195AE2" w:rsidRDefault="00195AE2" w:rsidP="00195AE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László MOLNÁR</w:t>
            </w:r>
            <w:r w:rsidRPr="003E54C2">
              <w:rPr>
                <w:b/>
                <w:bCs/>
                <w:vertAlign w:val="superscript"/>
              </w:rPr>
              <w:t>1</w:t>
            </w:r>
            <w:r>
              <w:rPr>
                <w:b/>
                <w:bCs/>
              </w:rPr>
              <w:t>, Gyula DANKÓ</w:t>
            </w:r>
            <w:r w:rsidRPr="003E54C2">
              <w:rPr>
                <w:b/>
                <w:bCs/>
                <w:vertAlign w:val="superscript"/>
              </w:rPr>
              <w:t>1</w:t>
            </w:r>
            <w:r>
              <w:rPr>
                <w:b/>
                <w:bCs/>
              </w:rPr>
              <w:t>, Péter MOLNÁR</w:t>
            </w:r>
            <w:r w:rsidRPr="003E54C2">
              <w:rPr>
                <w:b/>
                <w:bCs/>
                <w:vertAlign w:val="superscript"/>
              </w:rPr>
              <w:t>1</w:t>
            </w:r>
            <w:r>
              <w:rPr>
                <w:b/>
                <w:bCs/>
              </w:rPr>
              <w:t>, Tamás TAKÁCS</w:t>
            </w:r>
            <w:r w:rsidRPr="003E54C2">
              <w:rPr>
                <w:b/>
                <w:bCs/>
                <w:vertAlign w:val="superscript"/>
              </w:rPr>
              <w:t>1</w:t>
            </w:r>
          </w:p>
          <w:p w14:paraId="64B373A9" w14:textId="03738B6A" w:rsidR="00AF3942" w:rsidRDefault="00195AE2" w:rsidP="00195AE2">
            <w:pPr>
              <w:jc w:val="both"/>
              <w:rPr>
                <w:b/>
                <w:bCs/>
              </w:rPr>
            </w:pPr>
            <w:r w:rsidRPr="003E54C2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: </w:t>
            </w:r>
            <w:r w:rsidRPr="003E54C2">
              <w:rPr>
                <w:b/>
                <w:bCs/>
              </w:rPr>
              <w:t>Public Limited Company for Radioactive Waste Management (PURAM)</w:t>
            </w:r>
            <w:r>
              <w:rPr>
                <w:b/>
                <w:bCs/>
              </w:rPr>
              <w:t xml:space="preserve">, Hungary, </w:t>
            </w:r>
            <w:r w:rsidRPr="003E54C2">
              <w:rPr>
                <w:b/>
                <w:bCs/>
              </w:rPr>
              <w:t>2040</w:t>
            </w:r>
            <w:r>
              <w:rPr>
                <w:b/>
                <w:bCs/>
              </w:rPr>
              <w:t>,</w:t>
            </w:r>
            <w:r w:rsidRPr="003E54C2">
              <w:rPr>
                <w:b/>
                <w:bCs/>
              </w:rPr>
              <w:t xml:space="preserve"> Budaörs, Puskás Tivadar u. 11</w:t>
            </w:r>
            <w:r w:rsidR="00293E27">
              <w:rPr>
                <w:b/>
                <w:bCs/>
              </w:rPr>
              <w:t>, e-mail: molnar.laszlo@rhk.hu</w:t>
            </w:r>
          </w:p>
          <w:p w14:paraId="6BC53966" w14:textId="1789E39C" w:rsidR="00D23EAA" w:rsidRPr="00195AE2" w:rsidRDefault="00D23EAA" w:rsidP="00195AE2">
            <w:pPr>
              <w:jc w:val="both"/>
              <w:rPr>
                <w:b/>
                <w:bCs/>
              </w:rPr>
            </w:pP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6647858D" w14:textId="77777777" w:rsidR="009249FD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0223D0BE" w14:textId="14709501" w:rsidR="00C60BC5" w:rsidRPr="00D66730" w:rsidRDefault="00195AE2" w:rsidP="00195AE2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>
              <w:rPr>
                <w:b/>
                <w:bCs/>
              </w:rPr>
              <w:t>Semi-probabilistic radiological consequence analysis</w:t>
            </w:r>
          </w:p>
        </w:tc>
      </w:tr>
      <w:tr w:rsidR="00D66730" w:rsidRPr="00D66730" w14:paraId="336BE7D3" w14:textId="77777777" w:rsidTr="00D667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1961341D" w14:textId="4303D765" w:rsidR="00195AE2" w:rsidRDefault="00195AE2" w:rsidP="00195AE2">
            <w:pPr>
              <w:jc w:val="both"/>
            </w:pPr>
            <w:bookmarkStart w:id="0" w:name="_Hlk166576846"/>
            <w:r>
              <w:t xml:space="preserve">Analysis of radiological consequences </w:t>
            </w:r>
            <w:r w:rsidRPr="001E6952">
              <w:t xml:space="preserve">of </w:t>
            </w:r>
            <w:r>
              <w:t xml:space="preserve">the normal evolution scenario and various </w:t>
            </w:r>
            <w:r w:rsidRPr="001E6952">
              <w:t xml:space="preserve">disruptive events </w:t>
            </w:r>
            <w:r>
              <w:t>after</w:t>
            </w:r>
            <w:r w:rsidRPr="001E6952">
              <w:t xml:space="preserve"> the closure of a radioactive waste repository </w:t>
            </w:r>
            <w:r>
              <w:t>is an essential part of its l</w:t>
            </w:r>
            <w:r w:rsidRPr="001E6952">
              <w:t xml:space="preserve">ong-term safety </w:t>
            </w:r>
            <w:r>
              <w:t>a</w:t>
            </w:r>
            <w:r w:rsidRPr="001E6952">
              <w:t>ssess</w:t>
            </w:r>
            <w:r>
              <w:t>ment</w:t>
            </w:r>
            <w:r w:rsidRPr="001E6952">
              <w:t>. PURAM ha</w:t>
            </w:r>
            <w:r>
              <w:t>s</w:t>
            </w:r>
            <w:r w:rsidRPr="001E6952">
              <w:t xml:space="preserve"> conducted such </w:t>
            </w:r>
            <w:r>
              <w:t>analysis</w:t>
            </w:r>
            <w:r w:rsidRPr="001E6952">
              <w:t xml:space="preserve"> </w:t>
            </w:r>
            <w:r>
              <w:t>for</w:t>
            </w:r>
            <w:r w:rsidRPr="001E6952">
              <w:t xml:space="preserve"> the low- and intermediate level waste </w:t>
            </w:r>
            <w:r>
              <w:t xml:space="preserve">geological </w:t>
            </w:r>
            <w:r w:rsidRPr="001E6952">
              <w:t xml:space="preserve">repository at Bátaapáti, SW Hungary (National Radioactive Waste Repository, NRWR). </w:t>
            </w:r>
            <w:r>
              <w:t>In accordance with</w:t>
            </w:r>
            <w:r w:rsidRPr="001E6952">
              <w:t xml:space="preserve"> international practice, </w:t>
            </w:r>
            <w:r>
              <w:t xml:space="preserve">relevant disruptive events were selected based on </w:t>
            </w:r>
            <w:r w:rsidRPr="001E6952">
              <w:t>FEP-analysis</w:t>
            </w:r>
            <w:r>
              <w:t xml:space="preserve">. Consequences of the derived alternative evolution scenarios were evaluated mainly on deterministic basis. Nevertheless, in order to decrease conservatism, some of </w:t>
            </w:r>
            <w:r w:rsidRPr="001E6952">
              <w:t>the</w:t>
            </w:r>
            <w:r>
              <w:t>m</w:t>
            </w:r>
            <w:r w:rsidRPr="001E6952">
              <w:t xml:space="preserve"> </w:t>
            </w:r>
            <w:r>
              <w:t xml:space="preserve">were assessed using </w:t>
            </w:r>
            <w:r w:rsidR="00F91081">
              <w:t xml:space="preserve">a </w:t>
            </w:r>
            <w:r>
              <w:t>semi-</w:t>
            </w:r>
            <w:r w:rsidRPr="001E6952">
              <w:t>probabili</w:t>
            </w:r>
            <w:r>
              <w:t>stic approach</w:t>
            </w:r>
            <w:r w:rsidRPr="001E6952">
              <w:t xml:space="preserve">. </w:t>
            </w:r>
            <w:r>
              <w:t>This approach was also applied for certain considerations of the normal evolution scenario. Two examples are presented below.</w:t>
            </w:r>
          </w:p>
          <w:p w14:paraId="41190823" w14:textId="77777777" w:rsidR="00195AE2" w:rsidRDefault="00195AE2" w:rsidP="00195AE2">
            <w:pPr>
              <w:jc w:val="both"/>
            </w:pPr>
            <w:r>
              <w:t>According to the normal evolution scenario</w:t>
            </w:r>
            <w:r w:rsidRPr="00EB18B6">
              <w:t xml:space="preserve">, </w:t>
            </w:r>
            <w:r>
              <w:t xml:space="preserve">long </w:t>
            </w:r>
            <w:r w:rsidRPr="00EB18B6">
              <w:t>after the closure of the repository</w:t>
            </w:r>
            <w:r w:rsidRPr="007554B2">
              <w:t xml:space="preserve">, the contaminated groundwater </w:t>
            </w:r>
            <w:r>
              <w:t xml:space="preserve">will </w:t>
            </w:r>
            <w:r w:rsidRPr="007554B2">
              <w:t>reach the near-surface zones</w:t>
            </w:r>
            <w:r>
              <w:t xml:space="preserve">, where it can be </w:t>
            </w:r>
            <w:r w:rsidRPr="001E6952">
              <w:t>extract</w:t>
            </w:r>
            <w:r>
              <w:t>ed from a well at a farm</w:t>
            </w:r>
            <w:r w:rsidRPr="001E6952">
              <w:t xml:space="preserve">. </w:t>
            </w:r>
            <w:r w:rsidRPr="007554B2">
              <w:t xml:space="preserve">However, it is unlikely that the well will be </w:t>
            </w:r>
            <w:r>
              <w:t>located exactly</w:t>
            </w:r>
            <w:r w:rsidRPr="007554B2">
              <w:t xml:space="preserve"> in the centre of the potential contamination, and the water production </w:t>
            </w:r>
            <w:r>
              <w:t xml:space="preserve">itself </w:t>
            </w:r>
            <w:r w:rsidRPr="007554B2">
              <w:t xml:space="preserve">will also contribute to the </w:t>
            </w:r>
            <w:r>
              <w:t xml:space="preserve">decrease of the contamination level due to </w:t>
            </w:r>
            <w:r w:rsidRPr="007554B2">
              <w:t xml:space="preserve">dilution </w:t>
            </w:r>
            <w:r>
              <w:t>in the well</w:t>
            </w:r>
            <w:r w:rsidRPr="007554B2">
              <w:t>.</w:t>
            </w:r>
          </w:p>
          <w:p w14:paraId="519C30CD" w14:textId="70091A5C" w:rsidR="00FF46A7" w:rsidRPr="001E6952" w:rsidRDefault="00195AE2" w:rsidP="00195AE2">
            <w:pPr>
              <w:jc w:val="both"/>
            </w:pPr>
            <w:r w:rsidRPr="001E6952">
              <w:t xml:space="preserve">In the post-closure safety </w:t>
            </w:r>
            <w:r>
              <w:t>analysis</w:t>
            </w:r>
            <w:r w:rsidRPr="001E6952">
              <w:t xml:space="preserve">, the </w:t>
            </w:r>
            <w:r>
              <w:t>expected value</w:t>
            </w:r>
            <w:r w:rsidRPr="001E6952">
              <w:t xml:space="preserve"> of the </w:t>
            </w:r>
            <w:r>
              <w:t xml:space="preserve">contamination in the well </w:t>
            </w:r>
            <w:r w:rsidRPr="001E6952">
              <w:t>w</w:t>
            </w:r>
            <w:r>
              <w:t>as</w:t>
            </w:r>
            <w:r w:rsidRPr="001E6952">
              <w:t xml:space="preserve"> </w:t>
            </w:r>
            <w:r>
              <w:t>assessed based on</w:t>
            </w:r>
            <w:r w:rsidRPr="001E6952">
              <w:t xml:space="preserve"> a </w:t>
            </w:r>
            <w:r w:rsidRPr="00811956">
              <w:rPr>
                <w:b/>
                <w:bCs/>
              </w:rPr>
              <w:t>geometric (spatial) probability</w:t>
            </w:r>
            <w:r>
              <w:t>. A</w:t>
            </w:r>
            <w:r w:rsidRPr="001E6952">
              <w:t xml:space="preserve"> series of dedicated hydrogeological model runs (~ 75) comprised the evalu</w:t>
            </w:r>
            <w:r>
              <w:t>a</w:t>
            </w:r>
            <w:r w:rsidRPr="001E6952">
              <w:t xml:space="preserve">tion of water production </w:t>
            </w:r>
            <w:r>
              <w:t xml:space="preserve">from the well </w:t>
            </w:r>
            <w:r w:rsidRPr="001E6952">
              <w:t>with a</w:t>
            </w:r>
            <w:r>
              <w:t>n assumed</w:t>
            </w:r>
            <w:r w:rsidRPr="001E6952">
              <w:t xml:space="preserve"> yield and distance </w:t>
            </w:r>
            <w:r>
              <w:t xml:space="preserve">away </w:t>
            </w:r>
            <w:r w:rsidRPr="001E6952">
              <w:t xml:space="preserve">from the </w:t>
            </w:r>
            <w:r>
              <w:t xml:space="preserve">highest </w:t>
            </w:r>
            <w:r w:rsidRPr="001E6952">
              <w:t>concentration</w:t>
            </w:r>
            <w:r>
              <w:t xml:space="preserve"> in the groundwater</w:t>
            </w:r>
            <w:r w:rsidRPr="001E6952">
              <w:t xml:space="preserve">. </w:t>
            </w:r>
            <w:bookmarkStart w:id="1" w:name="_Hlk166572008"/>
            <w:r w:rsidRPr="001E6952">
              <w:t xml:space="preserve">These </w:t>
            </w:r>
            <w:r w:rsidR="00DF4CBE">
              <w:t>analyses</w:t>
            </w:r>
            <w:r w:rsidR="00DF4CBE" w:rsidRPr="001E6952">
              <w:t xml:space="preserve"> </w:t>
            </w:r>
            <w:r w:rsidRPr="001E6952">
              <w:t xml:space="preserve">proved that </w:t>
            </w:r>
            <w:r w:rsidR="008F55E7" w:rsidRPr="008F55E7">
              <w:t xml:space="preserve">the concentrations in the well are </w:t>
            </w:r>
            <w:r w:rsidR="00DF4CBE">
              <w:t xml:space="preserve">about </w:t>
            </w:r>
            <w:r w:rsidR="008F55E7" w:rsidRPr="008F55E7">
              <w:t>two orders of magnitude lower than the maximum concentration in the shallow groundwater</w:t>
            </w:r>
            <w:r w:rsidR="00DF4CBE">
              <w:t xml:space="preserve">, </w:t>
            </w:r>
            <w:r w:rsidR="00DF4CBE" w:rsidRPr="00DF4CBE">
              <w:t>result</w:t>
            </w:r>
            <w:r w:rsidR="00DF4CBE">
              <w:t>ing</w:t>
            </w:r>
            <w:r w:rsidR="00DF4CBE" w:rsidRPr="00DF4CBE">
              <w:t xml:space="preserve"> lower effective dose to the representative person in the normal evolution scenario </w:t>
            </w:r>
            <w:r w:rsidR="00DF4CBE">
              <w:t xml:space="preserve">of the </w:t>
            </w:r>
            <w:r w:rsidR="00DF4CBE" w:rsidRPr="00DF4CBE">
              <w:t>subsequent safety assessment model calculations.</w:t>
            </w:r>
            <w:bookmarkEnd w:id="1"/>
          </w:p>
          <w:p w14:paraId="6667B3DC" w14:textId="64BFC8B4" w:rsidR="00D66730" w:rsidRPr="00D66730" w:rsidRDefault="00195AE2" w:rsidP="00195AE2">
            <w:pPr>
              <w:jc w:val="both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t xml:space="preserve">One of the evaluated alternative scenarios was the early failure of the </w:t>
            </w:r>
            <w:r w:rsidRPr="001E6952">
              <w:t>engineered barrier system (EBS)</w:t>
            </w:r>
            <w:r>
              <w:t xml:space="preserve"> due to a </w:t>
            </w:r>
            <w:r w:rsidRPr="001E6952">
              <w:t>disruptive event</w:t>
            </w:r>
            <w:r>
              <w:t>, when a</w:t>
            </w:r>
            <w:r w:rsidRPr="001E6952">
              <w:t xml:space="preserve"> fracture </w:t>
            </w:r>
            <w:r>
              <w:t>had formed through</w:t>
            </w:r>
            <w:r w:rsidRPr="001E6952">
              <w:t xml:space="preserve"> the </w:t>
            </w:r>
            <w:r>
              <w:t>underground disposal</w:t>
            </w:r>
            <w:r w:rsidRPr="001E6952">
              <w:t xml:space="preserve"> vault </w:t>
            </w:r>
            <w:r>
              <w:t>and contamination released to the geosphere. A</w:t>
            </w:r>
            <w:r w:rsidRPr="001E6952">
              <w:t xml:space="preserve"> </w:t>
            </w:r>
            <w:r w:rsidRPr="00811956">
              <w:rPr>
                <w:b/>
                <w:bCs/>
              </w:rPr>
              <w:t>temporal semi-probabilistic approach</w:t>
            </w:r>
            <w:r w:rsidRPr="001E6952">
              <w:t xml:space="preserve"> </w:t>
            </w:r>
            <w:r>
              <w:t xml:space="preserve">was used to assess radiological consequences of this seismic disturbance </w:t>
            </w:r>
            <w:r w:rsidRPr="001E6952">
              <w:t xml:space="preserve">(earthquake). Although the Bátaapáti site is located in a seismically low-risk area, previous </w:t>
            </w:r>
            <w:r>
              <w:t xml:space="preserve">seismic hazard </w:t>
            </w:r>
            <w:r w:rsidRPr="001E6952">
              <w:t xml:space="preserve">studies </w:t>
            </w:r>
            <w:r>
              <w:t xml:space="preserve">and evaluation for load-bearing capacity of the reinforced concrete structures </w:t>
            </w:r>
            <w:r w:rsidRPr="001E6952">
              <w:t>suggest</w:t>
            </w:r>
            <w:r>
              <w:t>ed</w:t>
            </w:r>
            <w:r w:rsidRPr="001E6952">
              <w:t xml:space="preserve"> that </w:t>
            </w:r>
            <w:r>
              <w:t xml:space="preserve">a </w:t>
            </w:r>
            <w:r w:rsidRPr="001E6952">
              <w:t xml:space="preserve">high magnitude earthquake </w:t>
            </w:r>
            <w:r>
              <w:t xml:space="preserve">with </w:t>
            </w:r>
            <w:r w:rsidRPr="001E6952">
              <w:t xml:space="preserve">a frequency of about </w:t>
            </w:r>
            <w:r>
              <w:t xml:space="preserve">1 in </w:t>
            </w:r>
            <w:r w:rsidRPr="001E6952">
              <w:t xml:space="preserve">1 000 000 years </w:t>
            </w:r>
            <w:r>
              <w:t>may result in cracking of the already degraded concrete disposal vault</w:t>
            </w:r>
            <w:r w:rsidRPr="001E6952">
              <w:t xml:space="preserve">. </w:t>
            </w:r>
            <w:r w:rsidR="007D1DCE" w:rsidRPr="007D1DCE">
              <w:t>Applying a semi-pro</w:t>
            </w:r>
            <w:r w:rsidR="00324BD1">
              <w:t>b</w:t>
            </w:r>
            <w:r w:rsidR="007D1DCE" w:rsidRPr="007D1DCE">
              <w:t>abilistic approach, such a seismic event occur</w:t>
            </w:r>
            <w:r w:rsidR="007D1DCE">
              <w:t>r</w:t>
            </w:r>
            <w:r w:rsidR="007D1DCE" w:rsidRPr="007D1DCE">
              <w:t>ing with a probability of 1% at 10,000 years after the closure of the repository can be considered as a realistic alternative scenario.</w:t>
            </w:r>
            <w:r w:rsidRPr="001E6952">
              <w:t xml:space="preserve"> </w:t>
            </w:r>
            <w:r w:rsidR="003C07F9" w:rsidRPr="003C07F9">
              <w:t>In the post-closure safety model</w:t>
            </w:r>
            <w:r w:rsidR="00324BD1">
              <w:t xml:space="preserve">, </w:t>
            </w:r>
            <w:r w:rsidR="003C07F9" w:rsidRPr="003C07F9">
              <w:t>the</w:t>
            </w:r>
            <w:r>
              <w:t xml:space="preserve"> inventory was calculated for this time and the contamination was released directly into the biosphere</w:t>
            </w:r>
            <w:r w:rsidR="003C07F9">
              <w:t xml:space="preserve">, </w:t>
            </w:r>
            <w:r w:rsidR="003C07F9" w:rsidRPr="003C07F9">
              <w:t xml:space="preserve">neglecting </w:t>
            </w:r>
            <w:r w:rsidR="00290FF2">
              <w:t xml:space="preserve">previous results </w:t>
            </w:r>
            <w:r w:rsidR="00324BD1">
              <w:t>from</w:t>
            </w:r>
            <w:r w:rsidR="00290FF2">
              <w:t xml:space="preserve"> the hydr</w:t>
            </w:r>
            <w:r w:rsidR="00324BD1">
              <w:t xml:space="preserve">ogeological </w:t>
            </w:r>
            <w:r w:rsidR="00290FF2">
              <w:t xml:space="preserve">model on </w:t>
            </w:r>
            <w:r w:rsidR="003C07F9" w:rsidRPr="003C07F9">
              <w:t>the EBS and geosphere</w:t>
            </w:r>
            <w:r>
              <w:t>. I</w:t>
            </w:r>
            <w:r w:rsidRPr="001E6952">
              <w:t xml:space="preserve">t </w:t>
            </w:r>
            <w:r>
              <w:t>was</w:t>
            </w:r>
            <w:r w:rsidRPr="001E6952">
              <w:t xml:space="preserve"> concluded that </w:t>
            </w:r>
            <w:r>
              <w:t>such a</w:t>
            </w:r>
            <w:r w:rsidRPr="001E6952">
              <w:t xml:space="preserve"> seismic event will increase the effective dose to the </w:t>
            </w:r>
            <w:r>
              <w:t>representative person</w:t>
            </w:r>
            <w:r w:rsidRPr="001E6952">
              <w:t xml:space="preserve"> by about 2 orders of magnitude</w:t>
            </w:r>
            <w:r>
              <w:t xml:space="preserve"> compared to the normal evolution scenario</w:t>
            </w:r>
            <w:r w:rsidRPr="001E6952">
              <w:t xml:space="preserve">, but this still does not exceed </w:t>
            </w:r>
            <w:r>
              <w:t>the specified</w:t>
            </w:r>
            <w:r w:rsidRPr="001E6952">
              <w:t xml:space="preserve"> </w:t>
            </w:r>
            <w:r>
              <w:t>dose constraint</w:t>
            </w:r>
            <w:r w:rsidRPr="001E6952">
              <w:t xml:space="preserve"> of 0.1 mSv/year.</w:t>
            </w:r>
            <w:bookmarkEnd w:id="0"/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924CC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FE8F" w14:textId="77777777" w:rsidR="000A62E7" w:rsidRDefault="000A62E7" w:rsidP="00AF3942">
      <w:pPr>
        <w:spacing w:after="0" w:line="240" w:lineRule="auto"/>
      </w:pPr>
      <w:r>
        <w:separator/>
      </w:r>
    </w:p>
  </w:endnote>
  <w:endnote w:type="continuationSeparator" w:id="0">
    <w:p w14:paraId="5D3C67E8" w14:textId="77777777" w:rsidR="000A62E7" w:rsidRDefault="000A62E7" w:rsidP="00AF3942">
      <w:pPr>
        <w:spacing w:after="0" w:line="240" w:lineRule="auto"/>
      </w:pPr>
      <w:r>
        <w:continuationSeparator/>
      </w:r>
    </w:p>
  </w:endnote>
  <w:endnote w:type="continuationNotice" w:id="1">
    <w:p w14:paraId="338E8D52" w14:textId="77777777" w:rsidR="000A62E7" w:rsidRDefault="000A62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E928F" w14:textId="77777777" w:rsidR="000A62E7" w:rsidRDefault="000A62E7" w:rsidP="00AF3942">
      <w:pPr>
        <w:spacing w:after="0" w:line="240" w:lineRule="auto"/>
      </w:pPr>
      <w:r>
        <w:separator/>
      </w:r>
    </w:p>
  </w:footnote>
  <w:footnote w:type="continuationSeparator" w:id="0">
    <w:p w14:paraId="037CE071" w14:textId="77777777" w:rsidR="000A62E7" w:rsidRDefault="000A62E7" w:rsidP="00AF3942">
      <w:pPr>
        <w:spacing w:after="0" w:line="240" w:lineRule="auto"/>
      </w:pPr>
      <w:r>
        <w:continuationSeparator/>
      </w:r>
    </w:p>
  </w:footnote>
  <w:footnote w:type="continuationNotice" w:id="1">
    <w:p w14:paraId="669C8666" w14:textId="77777777" w:rsidR="000A62E7" w:rsidRDefault="000A62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19463">
    <w:abstractNumId w:val="1"/>
  </w:num>
  <w:num w:numId="2" w16cid:durableId="1253585379">
    <w:abstractNumId w:val="0"/>
  </w:num>
  <w:num w:numId="3" w16cid:durableId="2117208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</w:docVars>
  <w:rsids>
    <w:rsidRoot w:val="00ED483F"/>
    <w:rsid w:val="00006677"/>
    <w:rsid w:val="000A62E7"/>
    <w:rsid w:val="001215B8"/>
    <w:rsid w:val="00195AE2"/>
    <w:rsid w:val="00222FBB"/>
    <w:rsid w:val="00225F14"/>
    <w:rsid w:val="0024518F"/>
    <w:rsid w:val="00285532"/>
    <w:rsid w:val="00290FF2"/>
    <w:rsid w:val="00293E27"/>
    <w:rsid w:val="002B0699"/>
    <w:rsid w:val="002C48DA"/>
    <w:rsid w:val="00324BD1"/>
    <w:rsid w:val="003C07F9"/>
    <w:rsid w:val="003D606A"/>
    <w:rsid w:val="00403496"/>
    <w:rsid w:val="005208E7"/>
    <w:rsid w:val="006015D6"/>
    <w:rsid w:val="0067177D"/>
    <w:rsid w:val="00675709"/>
    <w:rsid w:val="006F3CFC"/>
    <w:rsid w:val="0077682E"/>
    <w:rsid w:val="007D1DCE"/>
    <w:rsid w:val="007E39C3"/>
    <w:rsid w:val="008532CB"/>
    <w:rsid w:val="008D38BE"/>
    <w:rsid w:val="008F55E7"/>
    <w:rsid w:val="009249FD"/>
    <w:rsid w:val="00924CCE"/>
    <w:rsid w:val="009A291A"/>
    <w:rsid w:val="009C3C04"/>
    <w:rsid w:val="009F568E"/>
    <w:rsid w:val="00AF3942"/>
    <w:rsid w:val="00B057FB"/>
    <w:rsid w:val="00B22E8F"/>
    <w:rsid w:val="00B75E39"/>
    <w:rsid w:val="00C60BC5"/>
    <w:rsid w:val="00C82F08"/>
    <w:rsid w:val="00CB2D0D"/>
    <w:rsid w:val="00CD5585"/>
    <w:rsid w:val="00CF72FE"/>
    <w:rsid w:val="00D01FFE"/>
    <w:rsid w:val="00D23EAA"/>
    <w:rsid w:val="00D3086B"/>
    <w:rsid w:val="00D52BED"/>
    <w:rsid w:val="00D66730"/>
    <w:rsid w:val="00D7639A"/>
    <w:rsid w:val="00DB6830"/>
    <w:rsid w:val="00DD0CBE"/>
    <w:rsid w:val="00DE67AD"/>
    <w:rsid w:val="00DF4CBE"/>
    <w:rsid w:val="00E254E3"/>
    <w:rsid w:val="00E43BD6"/>
    <w:rsid w:val="00E644AB"/>
    <w:rsid w:val="00ED483F"/>
    <w:rsid w:val="00F91081"/>
    <w:rsid w:val="00FF46A7"/>
    <w:rsid w:val="07123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5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5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5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70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75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E39"/>
  </w:style>
  <w:style w:type="paragraph" w:styleId="Footer">
    <w:name w:val="footer"/>
    <w:basedOn w:val="Normal"/>
    <w:link w:val="FooterChar"/>
    <w:uiPriority w:val="99"/>
    <w:semiHidden/>
    <w:unhideWhenUsed/>
    <w:rsid w:val="00B75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5E39"/>
  </w:style>
  <w:style w:type="paragraph" w:styleId="Revision">
    <w:name w:val="Revision"/>
    <w:hidden/>
    <w:uiPriority w:val="99"/>
    <w:semiHidden/>
    <w:rsid w:val="008D3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8C978-CFC8-4CC4-9A55-57084D846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C4B9A-BA59-48EC-87BF-4D5F334A09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586AB4-1122-4942-A9C8-B37F55683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554</Words>
  <Characters>3235</Characters>
  <Application>Microsoft Office Word</Application>
  <DocSecurity>0</DocSecurity>
  <Lines>54</Lines>
  <Paragraphs>23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13</cp:revision>
  <dcterms:created xsi:type="dcterms:W3CDTF">2024-05-14T06:11:00Z</dcterms:created>
  <dcterms:modified xsi:type="dcterms:W3CDTF">2024-05-20T16:03:00Z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</Properties>
</file>