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525D45" w:rsidRDefault="00285532" w:rsidP="00285532">
      <w:pPr>
        <w:shd w:val="clear" w:color="auto" w:fill="FFFFFF"/>
        <w:spacing w:after="120"/>
        <w:jc w:val="center"/>
        <w:rPr>
          <w:b/>
          <w:bCs/>
          <w:color w:val="000000" w:themeColor="text1"/>
          <w:szCs w:val="36"/>
        </w:rPr>
      </w:pPr>
      <w:r w:rsidRPr="00525D45">
        <w:rPr>
          <w:b/>
          <w:bCs/>
          <w:color w:val="000000" w:themeColor="text1"/>
          <w:sz w:val="32"/>
          <w:szCs w:val="36"/>
        </w:rPr>
        <w:t xml:space="preserve">Integration Group for the Safety Case (IGSC) Symposium </w:t>
      </w:r>
      <w:r w:rsidR="002C48DA" w:rsidRPr="00525D45">
        <w:rPr>
          <w:b/>
          <w:bCs/>
          <w:color w:val="000000" w:themeColor="text1"/>
          <w:sz w:val="32"/>
          <w:szCs w:val="36"/>
        </w:rPr>
        <w:t>2024</w:t>
      </w:r>
      <w:r w:rsidRPr="00525D45">
        <w:rPr>
          <w:b/>
          <w:bCs/>
          <w:color w:val="000000" w:themeColor="text1"/>
          <w:sz w:val="32"/>
          <w:szCs w:val="36"/>
        </w:rPr>
        <w:br/>
      </w:r>
      <w:r w:rsidR="002C48DA" w:rsidRPr="00525D45">
        <w:rPr>
          <w:i/>
          <w:iCs/>
          <w:color w:val="000000" w:themeColor="text1"/>
          <w:szCs w:val="36"/>
        </w:rPr>
        <w:t>MOVING TOWARDS THE CONSTRUCTION OF A SAFE DGR – GETTING REAL</w:t>
      </w:r>
    </w:p>
    <w:p w14:paraId="50AD91C3" w14:textId="77777777" w:rsidR="00ED483F" w:rsidRPr="00525D45"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525D45" w:rsidRPr="00525D45" w14:paraId="60547353" w14:textId="77777777" w:rsidTr="00D66730">
        <w:trPr>
          <w:trHeight w:val="432"/>
        </w:trPr>
        <w:tc>
          <w:tcPr>
            <w:tcW w:w="5707" w:type="dxa"/>
          </w:tcPr>
          <w:p w14:paraId="2DBDCB72" w14:textId="564905CB" w:rsidR="00ED483F" w:rsidRPr="00525D45" w:rsidRDefault="00ED483F" w:rsidP="002B0699">
            <w:pPr>
              <w:spacing w:before="60" w:after="60"/>
              <w:rPr>
                <w:rFonts w:cstheme="minorHAnsi"/>
                <w:b/>
                <w:color w:val="000000" w:themeColor="text1"/>
              </w:rPr>
            </w:pPr>
            <w:r w:rsidRPr="00525D45">
              <w:rPr>
                <w:rFonts w:cstheme="minorHAnsi"/>
                <w:b/>
                <w:color w:val="000000" w:themeColor="text1"/>
              </w:rPr>
              <w:t>Abstract Number</w:t>
            </w:r>
            <w:r w:rsidR="00AF3942" w:rsidRPr="00525D45">
              <w:rPr>
                <w:rFonts w:cstheme="minorHAnsi" w:hint="eastAsia"/>
                <w:b/>
                <w:color w:val="000000" w:themeColor="text1"/>
                <w:lang w:eastAsia="ja-JP"/>
              </w:rPr>
              <w:t>:</w:t>
            </w:r>
            <w:r w:rsidR="00285532" w:rsidRPr="00525D45">
              <w:rPr>
                <w:rFonts w:cstheme="minorHAnsi"/>
                <w:b/>
                <w:color w:val="000000" w:themeColor="text1"/>
                <w:lang w:eastAsia="ja-JP"/>
              </w:rPr>
              <w:t xml:space="preserve">  </w:t>
            </w:r>
            <w:r w:rsidR="00E07A88" w:rsidRPr="00525D45">
              <w:rPr>
                <w:rFonts w:cstheme="minorHAnsi"/>
                <w:b/>
                <w:color w:val="000000" w:themeColor="text1"/>
                <w:lang w:eastAsia="ja-JP"/>
              </w:rPr>
              <w:t>58</w:t>
            </w:r>
          </w:p>
        </w:tc>
        <w:tc>
          <w:tcPr>
            <w:tcW w:w="3376" w:type="dxa"/>
          </w:tcPr>
          <w:p w14:paraId="65329394" w14:textId="72BBC4DA" w:rsidR="00ED483F" w:rsidRPr="009061E0" w:rsidRDefault="009061E0" w:rsidP="00E07A88">
            <w:pPr>
              <w:tabs>
                <w:tab w:val="left" w:pos="2297"/>
              </w:tabs>
              <w:spacing w:before="60" w:after="60"/>
              <w:rPr>
                <w:rFonts w:cstheme="minorHAnsi" w:hint="eastAsia"/>
                <w:b/>
                <w:color w:val="000000" w:themeColor="text1"/>
                <w:lang w:eastAsia="zh-CN"/>
              </w:rPr>
            </w:pPr>
            <w:r>
              <w:rPr>
                <w:rFonts w:cstheme="minorHAnsi"/>
                <w:b/>
                <w:color w:val="000000" w:themeColor="text1"/>
                <w:lang w:eastAsia="ja-JP"/>
              </w:rPr>
              <w:t xml:space="preserve">Session </w:t>
            </w:r>
            <w:r>
              <w:rPr>
                <w:rFonts w:cstheme="minorHAnsi" w:hint="eastAsia"/>
                <w:b/>
                <w:color w:val="000000" w:themeColor="text1"/>
                <w:lang w:eastAsia="zh-CN"/>
              </w:rPr>
              <w:t>3.2</w:t>
            </w:r>
          </w:p>
        </w:tc>
      </w:tr>
      <w:tr w:rsidR="00525D45" w:rsidRPr="00525D45" w14:paraId="0837F891" w14:textId="77777777" w:rsidTr="00D66730">
        <w:trPr>
          <w:trHeight w:val="516"/>
        </w:trPr>
        <w:tc>
          <w:tcPr>
            <w:tcW w:w="9083" w:type="dxa"/>
            <w:gridSpan w:val="2"/>
          </w:tcPr>
          <w:p w14:paraId="22D919D6" w14:textId="77777777" w:rsidR="00C60BC5" w:rsidRPr="00525D45" w:rsidRDefault="00ED483F" w:rsidP="002B0699">
            <w:pPr>
              <w:spacing w:before="60" w:after="60"/>
              <w:rPr>
                <w:rFonts w:cstheme="minorHAnsi"/>
                <w:b/>
                <w:color w:val="000000" w:themeColor="text1"/>
                <w:lang w:eastAsia="ja-JP"/>
              </w:rPr>
            </w:pPr>
            <w:r w:rsidRPr="00525D45">
              <w:rPr>
                <w:rFonts w:cstheme="minorHAnsi"/>
                <w:b/>
                <w:color w:val="000000" w:themeColor="text1"/>
              </w:rPr>
              <w:t>Author</w:t>
            </w:r>
            <w:r w:rsidR="00AF3942" w:rsidRPr="00525D45">
              <w:rPr>
                <w:rFonts w:cstheme="minorHAnsi"/>
                <w:b/>
                <w:color w:val="000000" w:themeColor="text1"/>
                <w:lang w:eastAsia="ja-JP"/>
              </w:rPr>
              <w:t>:</w:t>
            </w:r>
          </w:p>
          <w:p w14:paraId="7DC0E2AE" w14:textId="46412552" w:rsidR="00AF3942" w:rsidRPr="00525D45" w:rsidRDefault="00FC234D" w:rsidP="002B0699">
            <w:pPr>
              <w:spacing w:before="60" w:after="60"/>
              <w:rPr>
                <w:rFonts w:cstheme="minorHAnsi"/>
                <w:b/>
                <w:color w:val="000000" w:themeColor="text1"/>
                <w:lang w:eastAsia="ja-JP"/>
              </w:rPr>
            </w:pPr>
            <w:r w:rsidRPr="00525D45">
              <w:rPr>
                <w:rFonts w:cstheme="minorHAnsi"/>
                <w:b/>
                <w:color w:val="000000" w:themeColor="text1"/>
                <w:lang w:eastAsia="ja-JP"/>
              </w:rPr>
              <w:t xml:space="preserve">Barbara Pastina*, Lasse Koskinen, Ville Heino, Anne Kontula, Antti Poteri, Juho Kuusisto, Pekka Kupiainen, Susanna Aro, Lauri Parviainen and Tiina Jalonen </w:t>
            </w:r>
            <w:r w:rsidR="002F3390" w:rsidRPr="00525D45">
              <w:rPr>
                <w:rFonts w:cstheme="minorHAnsi"/>
                <w:b/>
                <w:color w:val="000000" w:themeColor="text1"/>
                <w:lang w:eastAsia="ja-JP"/>
              </w:rPr>
              <w:t>(Posiva Oy)</w:t>
            </w:r>
          </w:p>
          <w:p w14:paraId="7A0A67E2" w14:textId="77777777" w:rsidR="00FC234D" w:rsidRPr="00525D45" w:rsidRDefault="00FC234D" w:rsidP="002B0699">
            <w:pPr>
              <w:spacing w:before="60" w:after="60"/>
              <w:rPr>
                <w:rFonts w:cstheme="minorHAnsi"/>
                <w:bCs/>
                <w:color w:val="000000" w:themeColor="text1"/>
                <w:lang w:eastAsia="ja-JP"/>
              </w:rPr>
            </w:pPr>
          </w:p>
          <w:p w14:paraId="6BC53966" w14:textId="23EB2763" w:rsidR="00AF3942" w:rsidRPr="00525D45" w:rsidRDefault="00FC234D" w:rsidP="002B0699">
            <w:pPr>
              <w:spacing w:before="60" w:after="60"/>
              <w:rPr>
                <w:rFonts w:cstheme="minorHAnsi"/>
                <w:bCs/>
                <w:color w:val="000000" w:themeColor="text1"/>
                <w:lang w:eastAsia="ja-JP"/>
              </w:rPr>
            </w:pPr>
            <w:r w:rsidRPr="00525D45">
              <w:rPr>
                <w:rFonts w:cstheme="minorHAnsi"/>
                <w:bCs/>
                <w:color w:val="000000" w:themeColor="text1"/>
                <w:lang w:eastAsia="ja-JP"/>
              </w:rPr>
              <w:t>*Contact email: barbara.pastina@posiva.fi</w:t>
            </w:r>
          </w:p>
        </w:tc>
      </w:tr>
      <w:tr w:rsidR="00525D45" w:rsidRPr="00525D45" w14:paraId="330BCA96" w14:textId="77777777" w:rsidTr="00D66730">
        <w:trPr>
          <w:trHeight w:val="1067"/>
        </w:trPr>
        <w:tc>
          <w:tcPr>
            <w:tcW w:w="9083" w:type="dxa"/>
            <w:gridSpan w:val="2"/>
          </w:tcPr>
          <w:p w14:paraId="3B181653" w14:textId="77777777" w:rsidR="002F3390" w:rsidRPr="00525D45" w:rsidRDefault="00285532" w:rsidP="002B0699">
            <w:pPr>
              <w:spacing w:before="60" w:after="60"/>
              <w:rPr>
                <w:rFonts w:cstheme="minorHAnsi"/>
                <w:b/>
                <w:color w:val="000000" w:themeColor="text1"/>
                <w:lang w:eastAsia="ja-JP"/>
              </w:rPr>
            </w:pPr>
            <w:r w:rsidRPr="00525D45">
              <w:rPr>
                <w:rFonts w:cstheme="minorHAnsi"/>
                <w:b/>
                <w:color w:val="000000" w:themeColor="text1"/>
                <w:lang w:eastAsia="ja-JP"/>
              </w:rPr>
              <w:t xml:space="preserve">Abstract </w:t>
            </w:r>
            <w:r w:rsidR="00ED483F" w:rsidRPr="00525D45">
              <w:rPr>
                <w:rFonts w:cstheme="minorHAnsi"/>
                <w:b/>
                <w:color w:val="000000" w:themeColor="text1"/>
              </w:rPr>
              <w:t>Title</w:t>
            </w:r>
            <w:r w:rsidR="00AF3942" w:rsidRPr="00525D45">
              <w:rPr>
                <w:rFonts w:cstheme="minorHAnsi"/>
                <w:b/>
                <w:color w:val="000000" w:themeColor="text1"/>
                <w:lang w:eastAsia="ja-JP"/>
              </w:rPr>
              <w:t>:</w:t>
            </w:r>
          </w:p>
          <w:p w14:paraId="60DB58DF" w14:textId="1A442918" w:rsidR="00AF3942" w:rsidRPr="00525D45" w:rsidRDefault="002F3390" w:rsidP="002B0699">
            <w:pPr>
              <w:spacing w:before="60" w:after="60"/>
              <w:rPr>
                <w:rFonts w:cstheme="minorHAnsi"/>
                <w:b/>
                <w:color w:val="000000" w:themeColor="text1"/>
                <w:lang w:eastAsia="ja-JP"/>
              </w:rPr>
            </w:pPr>
            <w:r w:rsidRPr="00525D45">
              <w:rPr>
                <w:color w:val="000000" w:themeColor="text1"/>
              </w:rPr>
              <w:t xml:space="preserve">The safety case at the time of implementation and </w:t>
            </w:r>
            <w:r w:rsidR="00456C75">
              <w:rPr>
                <w:color w:val="000000" w:themeColor="text1"/>
              </w:rPr>
              <w:t>optimisation</w:t>
            </w:r>
            <w:r w:rsidRPr="00525D45">
              <w:rPr>
                <w:color w:val="000000" w:themeColor="text1"/>
              </w:rPr>
              <w:t xml:space="preserve"> of a DGR: experience from Finland </w:t>
            </w:r>
          </w:p>
          <w:p w14:paraId="0223D0BE" w14:textId="77777777" w:rsidR="00C60BC5" w:rsidRPr="00525D45" w:rsidRDefault="00C60BC5" w:rsidP="002B0699">
            <w:pPr>
              <w:spacing w:before="60" w:after="60"/>
              <w:rPr>
                <w:rFonts w:cstheme="minorHAnsi"/>
                <w:b/>
                <w:color w:val="000000" w:themeColor="text1"/>
              </w:rPr>
            </w:pPr>
          </w:p>
        </w:tc>
      </w:tr>
      <w:tr w:rsidR="00525D45" w:rsidRPr="00525D45" w14:paraId="336BE7D3" w14:textId="77777777" w:rsidTr="00D66730">
        <w:trPr>
          <w:trHeight w:val="3307"/>
        </w:trPr>
        <w:tc>
          <w:tcPr>
            <w:tcW w:w="9083" w:type="dxa"/>
            <w:gridSpan w:val="2"/>
            <w:tcBorders>
              <w:bottom w:val="single" w:sz="4" w:space="0" w:color="auto"/>
            </w:tcBorders>
          </w:tcPr>
          <w:p w14:paraId="5D4B9EA3" w14:textId="77777777" w:rsidR="00285532" w:rsidRPr="00525D45" w:rsidRDefault="00AF3942" w:rsidP="002B0699">
            <w:pPr>
              <w:spacing w:before="60" w:after="60"/>
              <w:rPr>
                <w:rFonts w:cstheme="minorHAnsi"/>
                <w:b/>
                <w:color w:val="000000" w:themeColor="text1"/>
                <w:lang w:eastAsia="ja-JP"/>
              </w:rPr>
            </w:pPr>
            <w:r w:rsidRPr="00525D45">
              <w:rPr>
                <w:rFonts w:cstheme="minorHAnsi"/>
                <w:b/>
                <w:color w:val="000000" w:themeColor="text1"/>
                <w:lang w:eastAsia="ja-JP"/>
              </w:rPr>
              <w:t>Abstract (300-500 words)</w:t>
            </w:r>
            <w:r w:rsidR="003D606A" w:rsidRPr="00525D45">
              <w:rPr>
                <w:rFonts w:cstheme="minorHAnsi"/>
                <w:b/>
                <w:color w:val="000000" w:themeColor="text1"/>
                <w:lang w:eastAsia="ja-JP"/>
              </w:rPr>
              <w:t>:</w:t>
            </w:r>
          </w:p>
          <w:p w14:paraId="5212D499" w14:textId="68E804EE" w:rsidR="002F3390" w:rsidRPr="00525D45" w:rsidRDefault="002F3390" w:rsidP="00BE3C58">
            <w:pPr>
              <w:spacing w:before="60" w:after="60"/>
              <w:jc w:val="both"/>
              <w:rPr>
                <w:rFonts w:cstheme="minorHAnsi"/>
                <w:b/>
                <w:color w:val="000000" w:themeColor="text1"/>
                <w:lang w:eastAsia="ja-JP"/>
              </w:rPr>
            </w:pPr>
            <w:r w:rsidRPr="00525D45">
              <w:rPr>
                <w:color w:val="000000" w:themeColor="text1"/>
              </w:rPr>
              <w:t>On 30.12.2021 Posiva Oy submitted to the Finnish Government the application for a licence to operate a geological repository for spent nuclear fuel at the Olkiluoto site, on the South-West coast of Finland. A Safety Case for the Operating Licence Application (SC-OLA) was produced between 2014 and 2021 in support of such an application. For such a safety case, a</w:t>
            </w:r>
            <w:r w:rsidR="00433BA1" w:rsidRPr="00525D45">
              <w:rPr>
                <w:color w:val="000000" w:themeColor="text1"/>
              </w:rPr>
              <w:t xml:space="preserve"> requirements,</w:t>
            </w:r>
            <w:r w:rsidRPr="00525D45">
              <w:rPr>
                <w:color w:val="000000" w:themeColor="text1"/>
              </w:rPr>
              <w:t xml:space="preserve"> design and </w:t>
            </w:r>
            <w:r w:rsidR="00433BA1" w:rsidRPr="00525D45">
              <w:rPr>
                <w:color w:val="000000" w:themeColor="text1"/>
              </w:rPr>
              <w:t xml:space="preserve">input </w:t>
            </w:r>
            <w:r w:rsidRPr="00525D45">
              <w:rPr>
                <w:color w:val="000000" w:themeColor="text1"/>
              </w:rPr>
              <w:t xml:space="preserve">data freeze </w:t>
            </w:r>
            <w:proofErr w:type="gramStart"/>
            <w:r w:rsidRPr="00525D45">
              <w:rPr>
                <w:color w:val="000000" w:themeColor="text1"/>
              </w:rPr>
              <w:t>was</w:t>
            </w:r>
            <w:proofErr w:type="gramEnd"/>
            <w:r w:rsidRPr="00525D45">
              <w:rPr>
                <w:color w:val="000000" w:themeColor="text1"/>
              </w:rPr>
              <w:t xml:space="preserve"> applied to manage with the modelling production and documentation timeline. In 2023, a complementary memorandum was submitted to assess whether the design changes that happened after the data freeze done have an impact on the safety case results.  Compared with the previous safety case and past safety assessments, implementation-related aspects and the need for sustainability have introduced the need for changes in design. Requirements definition, implementation and management has been another area where several lessons have been learned. Posiva developed a change management process which includes a process for the management of long-term safety. Lessons learned from several areas, such as design, production/installation, quality assurance as well as from the safety case itself (e.g. formulation and analysis of scenarios) is being implemented. The dialogue with the regulatory agency and other stakeholders has also produced positive improvement in the development of the safety arguments and the presentation of the safety case. A risk-based development programme is being developed to address the uncertainties that are amenable to reduction and to implement spent nuclear fuel disposal without compromising safety.</w:t>
            </w:r>
          </w:p>
          <w:p w14:paraId="6667B3DC" w14:textId="6549BC64" w:rsidR="00D66730" w:rsidRPr="00525D45" w:rsidRDefault="00D66730" w:rsidP="002B0699">
            <w:pPr>
              <w:spacing w:before="60" w:after="60"/>
              <w:rPr>
                <w:rFonts w:cstheme="minorHAnsi"/>
                <w:b/>
                <w:color w:val="000000" w:themeColor="text1"/>
                <w:lang w:eastAsia="ja-JP"/>
              </w:rPr>
            </w:pPr>
          </w:p>
        </w:tc>
      </w:tr>
    </w:tbl>
    <w:p w14:paraId="3DB85F1E" w14:textId="77777777" w:rsidR="00ED483F" w:rsidRPr="00525D45" w:rsidRDefault="00ED483F" w:rsidP="00BE3C58">
      <w:pPr>
        <w:spacing w:after="0" w:line="240" w:lineRule="auto"/>
        <w:ind w:right="-188"/>
        <w:rPr>
          <w:rFonts w:cstheme="minorHAnsi"/>
          <w:b/>
          <w:color w:val="000000" w:themeColor="text1"/>
          <w:lang w:val="de-DE" w:eastAsia="ja-JP"/>
        </w:rPr>
      </w:pPr>
    </w:p>
    <w:sectPr w:rsidR="00ED483F" w:rsidRPr="00525D45" w:rsidSect="00983D87">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455F2" w14:textId="77777777" w:rsidR="00673D08" w:rsidRDefault="00673D08" w:rsidP="00AF3942">
      <w:pPr>
        <w:spacing w:after="0" w:line="240" w:lineRule="auto"/>
      </w:pPr>
      <w:r>
        <w:separator/>
      </w:r>
    </w:p>
  </w:endnote>
  <w:endnote w:type="continuationSeparator" w:id="0">
    <w:p w14:paraId="3D91EBEF" w14:textId="77777777" w:rsidR="00673D08" w:rsidRDefault="00673D08"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56E0F" w14:textId="77777777" w:rsidR="00673D08" w:rsidRDefault="00673D08" w:rsidP="00AF3942">
      <w:pPr>
        <w:spacing w:after="0" w:line="240" w:lineRule="auto"/>
      </w:pPr>
      <w:r>
        <w:separator/>
      </w:r>
    </w:p>
  </w:footnote>
  <w:footnote w:type="continuationSeparator" w:id="0">
    <w:p w14:paraId="76338710" w14:textId="77777777" w:rsidR="00673D08" w:rsidRDefault="00673D08"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2C40F67773B72836E270E943AA7083EF5BFD8700DC3F620F1DD643C9CD0B38CD"/>
  </w:docVars>
  <w:rsids>
    <w:rsidRoot w:val="00ED483F"/>
    <w:rsid w:val="00006677"/>
    <w:rsid w:val="000A7E0F"/>
    <w:rsid w:val="001215B8"/>
    <w:rsid w:val="001F0DDB"/>
    <w:rsid w:val="0024518F"/>
    <w:rsid w:val="00285532"/>
    <w:rsid w:val="002B0699"/>
    <w:rsid w:val="002C48DA"/>
    <w:rsid w:val="002C5EE9"/>
    <w:rsid w:val="002F3390"/>
    <w:rsid w:val="003D606A"/>
    <w:rsid w:val="003E433B"/>
    <w:rsid w:val="00433BA1"/>
    <w:rsid w:val="00441317"/>
    <w:rsid w:val="00456C75"/>
    <w:rsid w:val="0050376E"/>
    <w:rsid w:val="005208E7"/>
    <w:rsid w:val="00525D45"/>
    <w:rsid w:val="00583584"/>
    <w:rsid w:val="005E24DA"/>
    <w:rsid w:val="0067177D"/>
    <w:rsid w:val="00673D08"/>
    <w:rsid w:val="0077682E"/>
    <w:rsid w:val="007C1134"/>
    <w:rsid w:val="007E39C3"/>
    <w:rsid w:val="008E0AAB"/>
    <w:rsid w:val="009061E0"/>
    <w:rsid w:val="009249FD"/>
    <w:rsid w:val="00941B95"/>
    <w:rsid w:val="00983D87"/>
    <w:rsid w:val="009C3C04"/>
    <w:rsid w:val="00AE5C93"/>
    <w:rsid w:val="00AF3942"/>
    <w:rsid w:val="00B22E8F"/>
    <w:rsid w:val="00BE3C58"/>
    <w:rsid w:val="00C60BC5"/>
    <w:rsid w:val="00CD5585"/>
    <w:rsid w:val="00D66730"/>
    <w:rsid w:val="00D7639A"/>
    <w:rsid w:val="00DB6830"/>
    <w:rsid w:val="00E07A88"/>
    <w:rsid w:val="00E75860"/>
    <w:rsid w:val="00ED483F"/>
    <w:rsid w:val="00FC234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AE5C93"/>
    <w:pPr>
      <w:spacing w:after="0" w:line="240" w:lineRule="auto"/>
    </w:pPr>
  </w:style>
  <w:style w:type="character" w:styleId="CommentReference">
    <w:name w:val="annotation reference"/>
    <w:basedOn w:val="DefaultParagraphFont"/>
    <w:uiPriority w:val="99"/>
    <w:semiHidden/>
    <w:unhideWhenUsed/>
    <w:rsid w:val="00AE5C93"/>
    <w:rPr>
      <w:sz w:val="16"/>
      <w:szCs w:val="16"/>
    </w:rPr>
  </w:style>
  <w:style w:type="paragraph" w:styleId="CommentText">
    <w:name w:val="annotation text"/>
    <w:basedOn w:val="Normal"/>
    <w:link w:val="CommentTextChar"/>
    <w:uiPriority w:val="99"/>
    <w:unhideWhenUsed/>
    <w:rsid w:val="00AE5C93"/>
    <w:pPr>
      <w:spacing w:line="240" w:lineRule="auto"/>
    </w:pPr>
    <w:rPr>
      <w:sz w:val="20"/>
      <w:szCs w:val="20"/>
    </w:rPr>
  </w:style>
  <w:style w:type="character" w:customStyle="1" w:styleId="CommentTextChar">
    <w:name w:val="Comment Text Char"/>
    <w:basedOn w:val="DefaultParagraphFont"/>
    <w:link w:val="CommentText"/>
    <w:uiPriority w:val="99"/>
    <w:rsid w:val="00AE5C93"/>
    <w:rPr>
      <w:sz w:val="20"/>
      <w:szCs w:val="20"/>
    </w:rPr>
  </w:style>
  <w:style w:type="paragraph" w:styleId="CommentSubject">
    <w:name w:val="annotation subject"/>
    <w:basedOn w:val="CommentText"/>
    <w:next w:val="CommentText"/>
    <w:link w:val="CommentSubjectChar"/>
    <w:uiPriority w:val="99"/>
    <w:semiHidden/>
    <w:unhideWhenUsed/>
    <w:rsid w:val="00AE5C93"/>
    <w:rPr>
      <w:b/>
      <w:bCs/>
    </w:rPr>
  </w:style>
  <w:style w:type="character" w:customStyle="1" w:styleId="CommentSubjectChar">
    <w:name w:val="Comment Subject Char"/>
    <w:basedOn w:val="CommentTextChar"/>
    <w:link w:val="CommentSubject"/>
    <w:uiPriority w:val="99"/>
    <w:semiHidden/>
    <w:rsid w:val="00AE5C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32D29E25-8312-4D05-8F38-7FCD810F8854}">
  <ds:schemaRefs>
    <ds:schemaRef ds:uri="http://schemas.microsoft.com/sharepoint/v3/contenttype/forms"/>
  </ds:schemaRefs>
</ds:datastoreItem>
</file>

<file path=customXml/itemProps3.xml><?xml version="1.0" encoding="utf-8"?>
<ds:datastoreItem xmlns:ds="http://schemas.openxmlformats.org/officeDocument/2006/customXml" ds:itemID="{F1EA0D8E-8D8B-406B-92FA-11702FD896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8F6EF9-05B8-4EE3-B7D2-71284DA1E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317</Words>
  <Characters>1844</Characters>
  <Application>Microsoft Office Word</Application>
  <DocSecurity>0</DocSecurity>
  <Lines>33</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6</cp:revision>
  <dcterms:created xsi:type="dcterms:W3CDTF">2024-04-24T09:29:00Z</dcterms:created>
  <dcterms:modified xsi:type="dcterms:W3CDTF">2024-05-20T10:46:00Z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OECDDocumentId">
    <vt:lpwstr>2C40F67773B72836E270E943AA7083EF5BFD8700DC3F620F1DD643C9CD0B38CD</vt:lpwstr>
  </property>
  <property fmtid="{D5CDD505-2E9C-101B-9397-08002B2CF9AE}" pid="4" name="OecdDocumentCoteLangHash">
    <vt:lpwstr/>
  </property>
  <property fmtid="{D5CDD505-2E9C-101B-9397-08002B2CF9AE}" pid="5" name="ContentTypeId">
    <vt:lpwstr>0x01010002FAEBA6069C9F458C0085404E0C5FFE</vt:lpwstr>
  </property>
</Properties>
</file>