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29F24" w14:textId="77777777" w:rsidR="00285532" w:rsidRPr="00AE5FC1" w:rsidRDefault="00285532" w:rsidP="009F4EE7">
      <w:pPr>
        <w:shd w:val="clear" w:color="auto" w:fill="FFFFFF"/>
        <w:spacing w:after="120"/>
        <w:jc w:val="both"/>
        <w:rPr>
          <w:b/>
          <w:bCs/>
          <w:color w:val="116AAF"/>
          <w:szCs w:val="36"/>
        </w:rPr>
      </w:pPr>
      <w:r w:rsidRPr="00AE5FC1">
        <w:rPr>
          <w:b/>
          <w:bCs/>
          <w:color w:val="116AAF"/>
          <w:sz w:val="32"/>
          <w:szCs w:val="36"/>
        </w:rPr>
        <w:t xml:space="preserve">Integration Group for the Safety Case (IGSC) Symposium </w:t>
      </w:r>
      <w:r w:rsidR="002C48DA" w:rsidRPr="00AE5FC1">
        <w:rPr>
          <w:b/>
          <w:bCs/>
          <w:color w:val="116AAF"/>
          <w:sz w:val="32"/>
          <w:szCs w:val="36"/>
        </w:rPr>
        <w:t>2024</w:t>
      </w:r>
      <w:r w:rsidRPr="00AE5FC1">
        <w:rPr>
          <w:b/>
          <w:bCs/>
          <w:color w:val="116AAF"/>
          <w:sz w:val="32"/>
          <w:szCs w:val="36"/>
        </w:rPr>
        <w:br/>
      </w:r>
      <w:r w:rsidR="002C48DA" w:rsidRPr="00AE5FC1">
        <w:rPr>
          <w:i/>
          <w:iCs/>
          <w:color w:val="116AAF"/>
          <w:szCs w:val="36"/>
        </w:rPr>
        <w:t>MOVING TOWARDS THE CONSTRUCTION OF A SAFE DGR – GETTING REAL</w:t>
      </w:r>
    </w:p>
    <w:tbl>
      <w:tblPr>
        <w:tblStyle w:val="TableGrid"/>
        <w:tblW w:w="0" w:type="auto"/>
        <w:tblLook w:val="04A0" w:firstRow="1" w:lastRow="0" w:firstColumn="1" w:lastColumn="0" w:noHBand="0" w:noVBand="1"/>
      </w:tblPr>
      <w:tblGrid>
        <w:gridCol w:w="4510"/>
        <w:gridCol w:w="4506"/>
      </w:tblGrid>
      <w:tr w:rsidR="00ED483F" w:rsidRPr="00AE5FC1" w14:paraId="6AA41415" w14:textId="77777777" w:rsidTr="000D7902">
        <w:tc>
          <w:tcPr>
            <w:tcW w:w="4510" w:type="dxa"/>
          </w:tcPr>
          <w:p w14:paraId="3C477614" w14:textId="571E7184" w:rsidR="00ED483F" w:rsidRPr="00AE5FC1" w:rsidRDefault="00ED483F" w:rsidP="009F4EE7">
            <w:pPr>
              <w:spacing w:before="60" w:after="60"/>
              <w:ind w:right="-187"/>
              <w:jc w:val="both"/>
              <w:rPr>
                <w:rFonts w:cstheme="minorHAnsi"/>
                <w:b/>
              </w:rPr>
            </w:pPr>
            <w:r w:rsidRPr="00AE5FC1">
              <w:rPr>
                <w:rFonts w:cstheme="minorHAnsi"/>
                <w:b/>
              </w:rPr>
              <w:t>Abstract Number</w:t>
            </w:r>
            <w:r w:rsidR="00AF3942" w:rsidRPr="00AE5FC1">
              <w:rPr>
                <w:rFonts w:cstheme="minorHAnsi"/>
                <w:b/>
                <w:lang w:eastAsia="ja-JP"/>
              </w:rPr>
              <w:t>:</w:t>
            </w:r>
            <w:r w:rsidR="00285532" w:rsidRPr="00AE5FC1">
              <w:rPr>
                <w:rFonts w:cstheme="minorHAnsi"/>
                <w:b/>
                <w:lang w:eastAsia="ja-JP"/>
              </w:rPr>
              <w:t xml:space="preserve">  </w:t>
            </w:r>
            <w:r w:rsidR="000D7902">
              <w:rPr>
                <w:rFonts w:cstheme="minorHAnsi"/>
                <w:b/>
                <w:lang w:eastAsia="ja-JP"/>
              </w:rPr>
              <w:t>95</w:t>
            </w:r>
            <w:r w:rsidRPr="00AE5FC1">
              <w:rPr>
                <w:rFonts w:cstheme="minorHAnsi"/>
                <w:b/>
              </w:rPr>
              <w:t xml:space="preserve">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r w:rsidRPr="00AE5FC1">
              <w:rPr>
                <w:rFonts w:cstheme="minorHAnsi"/>
                <w:noProof/>
              </w:rPr>
              <w:t> </w:t>
            </w:r>
          </w:p>
        </w:tc>
        <w:tc>
          <w:tcPr>
            <w:tcW w:w="4506" w:type="dxa"/>
          </w:tcPr>
          <w:p w14:paraId="1C89B9A8" w14:textId="5AE99AA3" w:rsidR="00ED483F" w:rsidRPr="004B30F9" w:rsidRDefault="004B30F9" w:rsidP="004B30F9">
            <w:pPr>
              <w:pStyle w:val="Default"/>
              <w:jc w:val="both"/>
              <w:rPr>
                <w:rFonts w:cstheme="minorHAnsi"/>
                <w:b/>
                <w:color w:val="auto"/>
                <w:lang w:val="en-GB" w:eastAsia="ja-JP"/>
              </w:rPr>
            </w:pPr>
            <w:r>
              <w:rPr>
                <w:rFonts w:cstheme="minorHAnsi"/>
                <w:b/>
                <w:color w:val="auto"/>
                <w:lang w:val="en-GB" w:eastAsia="ja-JP"/>
              </w:rPr>
              <w:t>Poster P7.1.2</w:t>
            </w:r>
            <w:r w:rsidR="00CE6A12" w:rsidRPr="00AE5FC1">
              <w:rPr>
                <w:color w:val="auto"/>
                <w:sz w:val="22"/>
                <w:szCs w:val="22"/>
                <w:lang w:val="en-GB"/>
              </w:rPr>
              <w:t xml:space="preserve"> </w:t>
            </w:r>
          </w:p>
        </w:tc>
      </w:tr>
      <w:tr w:rsidR="00ED483F" w:rsidRPr="00AE5FC1" w14:paraId="58412FD2" w14:textId="77777777" w:rsidTr="000D7902">
        <w:trPr>
          <w:trHeight w:val="461"/>
        </w:trPr>
        <w:tc>
          <w:tcPr>
            <w:tcW w:w="9016" w:type="dxa"/>
            <w:gridSpan w:val="2"/>
          </w:tcPr>
          <w:p w14:paraId="33A3505B" w14:textId="77777777" w:rsidR="00C60BC5" w:rsidRPr="00AE5FC1" w:rsidRDefault="00ED483F" w:rsidP="009F4EE7">
            <w:pPr>
              <w:spacing w:before="60" w:after="60"/>
              <w:ind w:right="-187"/>
              <w:jc w:val="both"/>
              <w:rPr>
                <w:rFonts w:cstheme="minorHAnsi"/>
                <w:b/>
                <w:lang w:eastAsia="ja-JP"/>
              </w:rPr>
            </w:pPr>
            <w:r w:rsidRPr="00AE5FC1">
              <w:rPr>
                <w:rFonts w:cstheme="minorHAnsi"/>
                <w:b/>
              </w:rPr>
              <w:t>Author</w:t>
            </w:r>
            <w:r w:rsidR="00AF3942" w:rsidRPr="00AE5FC1">
              <w:rPr>
                <w:rFonts w:cstheme="minorHAnsi"/>
                <w:b/>
                <w:lang w:eastAsia="ja-JP"/>
              </w:rPr>
              <w:t>:</w:t>
            </w:r>
          </w:p>
          <w:p w14:paraId="036A9412" w14:textId="4AAD4043" w:rsidR="000D7902" w:rsidRPr="00D84A18" w:rsidRDefault="000D7902" w:rsidP="000D7902">
            <w:pPr>
              <w:spacing w:before="60" w:after="60"/>
              <w:ind w:right="-187"/>
              <w:jc w:val="both"/>
              <w:rPr>
                <w:b/>
                <w:bCs/>
              </w:rPr>
            </w:pPr>
            <w:r>
              <w:rPr>
                <w:b/>
                <w:bCs/>
              </w:rPr>
              <w:t xml:space="preserve">Milan </w:t>
            </w:r>
            <w:proofErr w:type="spellStart"/>
            <w:r>
              <w:rPr>
                <w:b/>
                <w:bCs/>
              </w:rPr>
              <w:t>Touš</w:t>
            </w:r>
            <w:proofErr w:type="spellEnd"/>
            <w:r>
              <w:rPr>
                <w:b/>
                <w:bCs/>
              </w:rPr>
              <w:t xml:space="preserve"> </w:t>
            </w:r>
            <w:r>
              <w:t>(</w:t>
            </w:r>
            <w:hyperlink r:id="rId11" w:history="1">
              <w:r w:rsidRPr="00C3222F">
                <w:rPr>
                  <w:rStyle w:val="Hyperlink"/>
                </w:rPr>
                <w:t>tous@surao.cz</w:t>
              </w:r>
            </w:hyperlink>
            <w:r>
              <w:t>)</w:t>
            </w:r>
            <w:r>
              <w:t xml:space="preserve">, </w:t>
            </w:r>
            <w:r w:rsidRPr="00D84A18">
              <w:rPr>
                <w:b/>
                <w:bCs/>
              </w:rPr>
              <w:t>Eva Popelová</w:t>
            </w:r>
            <w:r>
              <w:rPr>
                <w:b/>
                <w:bCs/>
              </w:rPr>
              <w:t xml:space="preserve">, </w:t>
            </w:r>
            <w:r w:rsidRPr="00D84A18">
              <w:rPr>
                <w:b/>
                <w:bCs/>
              </w:rPr>
              <w:t>Tomáš Vrba</w:t>
            </w:r>
          </w:p>
          <w:p w14:paraId="2FAB434A" w14:textId="4FF5B2A4" w:rsidR="00AF3942" w:rsidRPr="000D7902" w:rsidRDefault="00AE5FC1" w:rsidP="000D7902">
            <w:pPr>
              <w:spacing w:before="60" w:after="60"/>
              <w:ind w:right="-187"/>
              <w:jc w:val="both"/>
            </w:pPr>
            <w:r w:rsidRPr="00AE5FC1">
              <w:t>SÚRAO, Czech Republic</w:t>
            </w:r>
          </w:p>
        </w:tc>
      </w:tr>
      <w:tr w:rsidR="00ED483F" w:rsidRPr="00AE5FC1" w14:paraId="03C7D820" w14:textId="77777777" w:rsidTr="000D7902">
        <w:trPr>
          <w:trHeight w:val="952"/>
        </w:trPr>
        <w:tc>
          <w:tcPr>
            <w:tcW w:w="9016" w:type="dxa"/>
            <w:gridSpan w:val="2"/>
          </w:tcPr>
          <w:p w14:paraId="57D45F22" w14:textId="77777777" w:rsidR="009249FD" w:rsidRPr="00AE5FC1" w:rsidRDefault="00285532" w:rsidP="009F4EE7">
            <w:pPr>
              <w:spacing w:before="60" w:after="60"/>
              <w:ind w:right="-187"/>
              <w:jc w:val="both"/>
              <w:rPr>
                <w:rFonts w:cstheme="minorHAnsi"/>
                <w:b/>
                <w:lang w:eastAsia="ja-JP"/>
              </w:rPr>
            </w:pPr>
            <w:r w:rsidRPr="00AE5FC1">
              <w:rPr>
                <w:rFonts w:cstheme="minorHAnsi"/>
                <w:b/>
                <w:lang w:eastAsia="ja-JP"/>
              </w:rPr>
              <w:t xml:space="preserve">Abstract </w:t>
            </w:r>
            <w:r w:rsidR="00ED483F" w:rsidRPr="00AE5FC1">
              <w:rPr>
                <w:rFonts w:cstheme="minorHAnsi"/>
                <w:b/>
              </w:rPr>
              <w:t>Title</w:t>
            </w:r>
            <w:r w:rsidR="00AF3942" w:rsidRPr="00AE5FC1">
              <w:rPr>
                <w:rFonts w:cstheme="minorHAnsi"/>
                <w:b/>
                <w:lang w:eastAsia="ja-JP"/>
              </w:rPr>
              <w:t>:</w:t>
            </w:r>
          </w:p>
          <w:p w14:paraId="5AAEED06" w14:textId="4D7F9CCF" w:rsidR="00C60BC5" w:rsidRPr="00AE5FC1" w:rsidRDefault="007948B9" w:rsidP="009F4EE7">
            <w:pPr>
              <w:spacing w:before="60" w:after="60"/>
              <w:ind w:right="91"/>
              <w:jc w:val="both"/>
              <w:rPr>
                <w:rFonts w:cstheme="minorHAnsi"/>
                <w:b/>
                <w:lang w:eastAsia="ja-JP"/>
              </w:rPr>
            </w:pPr>
            <w:r w:rsidRPr="007948B9">
              <w:t xml:space="preserve">Updating of the safety case for surface and near-surface radioactive waste repositories in operation (Richard, </w:t>
            </w:r>
            <w:proofErr w:type="spellStart"/>
            <w:r w:rsidRPr="007948B9">
              <w:t>Bratrství</w:t>
            </w:r>
            <w:proofErr w:type="spellEnd"/>
            <w:r w:rsidRPr="007948B9">
              <w:t xml:space="preserve"> and </w:t>
            </w:r>
            <w:proofErr w:type="spellStart"/>
            <w:r w:rsidRPr="007948B9">
              <w:t>Dukovany</w:t>
            </w:r>
            <w:proofErr w:type="spellEnd"/>
            <w:r w:rsidRPr="007948B9">
              <w:t>) - part of the safety assessments, partial outputs 2022-2024</w:t>
            </w:r>
          </w:p>
        </w:tc>
      </w:tr>
      <w:tr w:rsidR="00285532" w:rsidRPr="00AE5FC1" w14:paraId="3164AC1D" w14:textId="77777777" w:rsidTr="000D7902">
        <w:trPr>
          <w:trHeight w:val="983"/>
        </w:trPr>
        <w:tc>
          <w:tcPr>
            <w:tcW w:w="9016" w:type="dxa"/>
            <w:gridSpan w:val="2"/>
            <w:tcBorders>
              <w:bottom w:val="single" w:sz="4" w:space="0" w:color="auto"/>
            </w:tcBorders>
          </w:tcPr>
          <w:p w14:paraId="0A1650D2" w14:textId="77777777" w:rsidR="00CD489E" w:rsidRDefault="00CD489E" w:rsidP="009F4EE7">
            <w:pPr>
              <w:jc w:val="both"/>
            </w:pPr>
            <w:r>
              <w:t>SÚRAO operates three radioactive waste repositories</w:t>
            </w:r>
            <w:r w:rsidRPr="0026671B">
              <w:t xml:space="preserve"> for the disposal of low</w:t>
            </w:r>
            <w:r>
              <w:t>-</w:t>
            </w:r>
            <w:r w:rsidRPr="0026671B">
              <w:t xml:space="preserve"> and intermediate</w:t>
            </w:r>
            <w:r>
              <w:t>-</w:t>
            </w:r>
            <w:r w:rsidRPr="0026671B">
              <w:t>level waste</w:t>
            </w:r>
            <w:r>
              <w:t xml:space="preserve">, i.e. the Richard, </w:t>
            </w:r>
            <w:proofErr w:type="spellStart"/>
            <w:r>
              <w:t>Bratrství</w:t>
            </w:r>
            <w:proofErr w:type="spellEnd"/>
            <w:r>
              <w:t xml:space="preserve"> and </w:t>
            </w:r>
            <w:proofErr w:type="spellStart"/>
            <w:r>
              <w:t>Dukovany</w:t>
            </w:r>
            <w:proofErr w:type="spellEnd"/>
            <w:r>
              <w:t xml:space="preserve"> facilities. </w:t>
            </w:r>
          </w:p>
          <w:p w14:paraId="15273E2A" w14:textId="77777777" w:rsidR="00CD489E" w:rsidRDefault="00CD489E" w:rsidP="009F4EE7">
            <w:pPr>
              <w:jc w:val="both"/>
            </w:pPr>
            <w:r>
              <w:t xml:space="preserve">The Richard near-surface repository is located near </w:t>
            </w:r>
            <w:proofErr w:type="spellStart"/>
            <w:r>
              <w:t>Litoměřice</w:t>
            </w:r>
            <w:proofErr w:type="spellEnd"/>
            <w:r>
              <w:t xml:space="preserve"> in part of the underground complex of the former Richard II limestone mine. It has been used since 1964 for the disposal of institutional radioactive waste from the health, industrial, agricultural and research sectors.</w:t>
            </w:r>
          </w:p>
          <w:p w14:paraId="1D889BBD" w14:textId="77777777" w:rsidR="00CD489E" w:rsidRDefault="00CD489E" w:rsidP="009F4EE7">
            <w:pPr>
              <w:jc w:val="both"/>
            </w:pPr>
            <w:r>
              <w:t xml:space="preserve">The </w:t>
            </w:r>
            <w:proofErr w:type="spellStart"/>
            <w:r>
              <w:t>Bratrství</w:t>
            </w:r>
            <w:proofErr w:type="spellEnd"/>
            <w:r>
              <w:t xml:space="preserve"> near-surface repository is located near the town of </w:t>
            </w:r>
            <w:proofErr w:type="spellStart"/>
            <w:r>
              <w:t>Jáchymov</w:t>
            </w:r>
            <w:proofErr w:type="spellEnd"/>
            <w:r>
              <w:t xml:space="preserve"> in the foothills of the </w:t>
            </w:r>
            <w:proofErr w:type="spellStart"/>
            <w:r>
              <w:t>Krušné</w:t>
            </w:r>
            <w:proofErr w:type="spellEnd"/>
            <w:r>
              <w:t xml:space="preserve"> Mountains in part of the former uranium mine of the same name. The repository has been in operation since 1974 and is intended exclusively for the disposal of radioactive waste from the health, industrial and research sectors that contains only </w:t>
            </w:r>
            <w:proofErr w:type="gramStart"/>
            <w:r>
              <w:t>naturally-occurring</w:t>
            </w:r>
            <w:proofErr w:type="gramEnd"/>
            <w:r>
              <w:t xml:space="preserve"> radionuclides.</w:t>
            </w:r>
          </w:p>
          <w:p w14:paraId="1CCB6A45" w14:textId="77777777" w:rsidR="00CD489E" w:rsidRDefault="00CD489E" w:rsidP="009F4EE7">
            <w:pPr>
              <w:jc w:val="both"/>
            </w:pPr>
            <w:r>
              <w:t xml:space="preserve">The </w:t>
            </w:r>
            <w:proofErr w:type="spellStart"/>
            <w:r>
              <w:t>Dukovany</w:t>
            </w:r>
            <w:proofErr w:type="spellEnd"/>
            <w:r>
              <w:t xml:space="preserve"> surface repository, which is located within the </w:t>
            </w:r>
            <w:proofErr w:type="spellStart"/>
            <w:r>
              <w:t>Dukovany</w:t>
            </w:r>
            <w:proofErr w:type="spellEnd"/>
            <w:r>
              <w:t xml:space="preserve"> nuclear power plant complex, occupies an area of 1.3 ha. The waste is disposed of in reinforced concrete chambers. The facility is intended exclusively for the disposal of low-level radioactive waste from the operation of the Czech Republic’s two nuclear power plants, </w:t>
            </w:r>
            <w:proofErr w:type="spellStart"/>
            <w:r>
              <w:t>Temelín</w:t>
            </w:r>
            <w:proofErr w:type="spellEnd"/>
            <w:r>
              <w:t xml:space="preserve"> and </w:t>
            </w:r>
            <w:proofErr w:type="spellStart"/>
            <w:r>
              <w:t>Dukovany</w:t>
            </w:r>
            <w:proofErr w:type="spellEnd"/>
            <w:r>
              <w:t>. The repository was commissioned in 1995.</w:t>
            </w:r>
          </w:p>
          <w:p w14:paraId="42B88CEB" w14:textId="77777777" w:rsidR="00CD489E" w:rsidRDefault="00CD489E" w:rsidP="009F4EE7">
            <w:pPr>
              <w:jc w:val="both"/>
            </w:pPr>
            <w:r>
              <w:t>In March 2021, SÚRAO initiated a six-year project concerned with updating the safety assessments (SA) of all three operational repositories. Based on the latest scientific and technical knowledge available, the resulting documentation will form the basis for subsequent periodic safety reviews, which will be submitted to the regulatory body (The State Office for Nuclear Safety - SÚJB).</w:t>
            </w:r>
          </w:p>
          <w:p w14:paraId="3D02E186" w14:textId="77777777" w:rsidR="00CD489E" w:rsidRDefault="00CD489E" w:rsidP="009F4EE7">
            <w:pPr>
              <w:jc w:val="both"/>
            </w:pPr>
            <w:r>
              <w:t>The safety assessments will be based on updated:</w:t>
            </w:r>
          </w:p>
          <w:p w14:paraId="32929677" w14:textId="77777777" w:rsidR="00CD489E" w:rsidRDefault="00CD489E" w:rsidP="009F4EE7">
            <w:pPr>
              <w:jc w:val="both"/>
            </w:pPr>
            <w:r>
              <w:t>a) geological models</w:t>
            </w:r>
          </w:p>
          <w:p w14:paraId="3CA32354" w14:textId="77777777" w:rsidR="00CD489E" w:rsidRDefault="00CD489E" w:rsidP="009F4EE7">
            <w:pPr>
              <w:jc w:val="both"/>
            </w:pPr>
            <w:r>
              <w:t>b) hydrogeological models</w:t>
            </w:r>
          </w:p>
          <w:p w14:paraId="598F2E06" w14:textId="77777777" w:rsidR="00CD489E" w:rsidRDefault="00CD489E" w:rsidP="009F4EE7">
            <w:pPr>
              <w:jc w:val="both"/>
            </w:pPr>
            <w:r>
              <w:t>c) FEPs</w:t>
            </w:r>
          </w:p>
          <w:p w14:paraId="64E57438" w14:textId="77777777" w:rsidR="00CD489E" w:rsidRDefault="00CD489E" w:rsidP="009F4EE7">
            <w:pPr>
              <w:jc w:val="both"/>
            </w:pPr>
            <w:r>
              <w:t>d) RAW inventories</w:t>
            </w:r>
          </w:p>
          <w:p w14:paraId="51A87297" w14:textId="77777777" w:rsidR="00CD489E" w:rsidRDefault="00CD489E" w:rsidP="009F4EE7">
            <w:pPr>
              <w:jc w:val="both"/>
            </w:pPr>
            <w:r>
              <w:t>e) assessments of the condition of the engineered barriers</w:t>
            </w:r>
          </w:p>
          <w:p w14:paraId="4640FA6C" w14:textId="77777777" w:rsidR="00CD489E" w:rsidRDefault="00CD489E" w:rsidP="009F4EE7">
            <w:pPr>
              <w:jc w:val="both"/>
            </w:pPr>
            <w:r>
              <w:t>(f) experimental research programmes concerning the materials used in the engineered barriers of the repositories aimed at determining the parameters required for the characterisation of the engineered barriers for the respective models and calculations</w:t>
            </w:r>
          </w:p>
          <w:p w14:paraId="45D3ECD5" w14:textId="77777777" w:rsidR="00CD489E" w:rsidRDefault="00CD489E" w:rsidP="009F4EE7">
            <w:pPr>
              <w:jc w:val="both"/>
            </w:pPr>
            <w:r>
              <w:t>(g) operational and long-term safety scenarios</w:t>
            </w:r>
          </w:p>
          <w:p w14:paraId="6E317AEC" w14:textId="77777777" w:rsidR="00CD489E" w:rsidRDefault="00CD489E" w:rsidP="009F4EE7">
            <w:pPr>
              <w:jc w:val="both"/>
            </w:pPr>
            <w:r>
              <w:t>(h) operational safety assessments</w:t>
            </w:r>
          </w:p>
          <w:p w14:paraId="7B459DE0" w14:textId="77777777" w:rsidR="00CD489E" w:rsidRDefault="00CD489E" w:rsidP="009F4EE7">
            <w:pPr>
              <w:jc w:val="both"/>
            </w:pPr>
            <w:r>
              <w:t>(</w:t>
            </w:r>
            <w:proofErr w:type="spellStart"/>
            <w:r>
              <w:t>i</w:t>
            </w:r>
            <w:proofErr w:type="spellEnd"/>
            <w:r>
              <w:t>) long-term safety assessments and</w:t>
            </w:r>
          </w:p>
          <w:p w14:paraId="38C69B2D" w14:textId="77777777" w:rsidR="00CD489E" w:rsidRDefault="00CD489E" w:rsidP="009F4EE7">
            <w:pPr>
              <w:jc w:val="both"/>
            </w:pPr>
            <w:r>
              <w:t>j) dose calculations for a representative person.</w:t>
            </w:r>
          </w:p>
          <w:p w14:paraId="363BF07B" w14:textId="559FA37E" w:rsidR="00CD489E" w:rsidRDefault="00CD489E" w:rsidP="009F4EE7">
            <w:pPr>
              <w:jc w:val="both"/>
            </w:pPr>
            <w:r>
              <w:t>Selected outputs from the project (</w:t>
            </w:r>
            <w:r w:rsidR="007E0AE6">
              <w:t>U</w:t>
            </w:r>
            <w:r>
              <w:t xml:space="preserve">pdates of the 3D geological and hydrogeological models, </w:t>
            </w:r>
            <w:r w:rsidR="007E0AE6">
              <w:t>A</w:t>
            </w:r>
            <w:r>
              <w:t>nalyses of the inventories of the repositories and FEP catalogues) concerning the period 2021 - 2022 were presented at an NEA RWMC workshop held in Bucharest in July 2022.</w:t>
            </w:r>
          </w:p>
          <w:p w14:paraId="24BAE80B" w14:textId="6B563701" w:rsidR="002C77F0" w:rsidRPr="000869F7" w:rsidRDefault="00CD489E" w:rsidP="000F5969">
            <w:pPr>
              <w:jc w:val="both"/>
            </w:pPr>
            <w:r>
              <w:t xml:space="preserve">The results of ongoing sub-projects for the period 2022 - 2024 will be presented in due course, i.e. The assessment of the condition of the engineered barriers, The development of operational and long-term safety scenarios and </w:t>
            </w:r>
            <w:proofErr w:type="gramStart"/>
            <w:r>
              <w:t>The</w:t>
            </w:r>
            <w:proofErr w:type="gramEnd"/>
            <w:r>
              <w:t xml:space="preserve"> assessment of the operational safety of the Richard repository.</w:t>
            </w:r>
          </w:p>
        </w:tc>
      </w:tr>
    </w:tbl>
    <w:p w14:paraId="22C6F3E2" w14:textId="77777777" w:rsidR="00ED483F" w:rsidRPr="00AE5FC1" w:rsidRDefault="00ED483F" w:rsidP="009F4EE7">
      <w:pPr>
        <w:spacing w:after="0" w:line="240" w:lineRule="auto"/>
        <w:ind w:right="-188"/>
        <w:jc w:val="both"/>
        <w:rPr>
          <w:rFonts w:cstheme="minorHAnsi"/>
          <w:b/>
          <w:lang w:eastAsia="ja-JP"/>
        </w:rPr>
      </w:pPr>
    </w:p>
    <w:sectPr w:rsidR="00ED483F" w:rsidRPr="00AE5FC1" w:rsidSect="00323F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BEF64" w14:textId="77777777" w:rsidR="007F6D12" w:rsidRDefault="007F6D12" w:rsidP="00AF3942">
      <w:pPr>
        <w:spacing w:after="0" w:line="240" w:lineRule="auto"/>
      </w:pPr>
      <w:r>
        <w:separator/>
      </w:r>
    </w:p>
  </w:endnote>
  <w:endnote w:type="continuationSeparator" w:id="0">
    <w:p w14:paraId="5783D7E2" w14:textId="77777777" w:rsidR="007F6D12" w:rsidRDefault="007F6D12"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3100B" w14:textId="77777777" w:rsidR="007F6D12" w:rsidRDefault="007F6D12" w:rsidP="00AF3942">
      <w:pPr>
        <w:spacing w:after="0" w:line="240" w:lineRule="auto"/>
      </w:pPr>
      <w:r>
        <w:separator/>
      </w:r>
    </w:p>
  </w:footnote>
  <w:footnote w:type="continuationSeparator" w:id="0">
    <w:p w14:paraId="5AAB7217" w14:textId="77777777" w:rsidR="007F6D12" w:rsidRDefault="007F6D12"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C5A2CEE"/>
    <w:multiLevelType w:val="hybridMultilevel"/>
    <w:tmpl w:val="25963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FFFFFFFF">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21715999">
    <w:abstractNumId w:val="1"/>
  </w:num>
  <w:num w:numId="2" w16cid:durableId="1282146818">
    <w:abstractNumId w:val="0"/>
  </w:num>
  <w:num w:numId="3" w16cid:durableId="783574865">
    <w:abstractNumId w:val="3"/>
  </w:num>
  <w:num w:numId="4" w16cid:durableId="1271545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869F7"/>
    <w:rsid w:val="000A1E68"/>
    <w:rsid w:val="000C0591"/>
    <w:rsid w:val="000D7902"/>
    <w:rsid w:val="000F5969"/>
    <w:rsid w:val="001215B8"/>
    <w:rsid w:val="0024518F"/>
    <w:rsid w:val="00285532"/>
    <w:rsid w:val="002C48DA"/>
    <w:rsid w:val="002C616C"/>
    <w:rsid w:val="002C77F0"/>
    <w:rsid w:val="002D36AA"/>
    <w:rsid w:val="002E788E"/>
    <w:rsid w:val="002F23D3"/>
    <w:rsid w:val="002F41A2"/>
    <w:rsid w:val="002F6934"/>
    <w:rsid w:val="00300E65"/>
    <w:rsid w:val="00323FBD"/>
    <w:rsid w:val="00347D0A"/>
    <w:rsid w:val="003D606A"/>
    <w:rsid w:val="00441296"/>
    <w:rsid w:val="004B30F9"/>
    <w:rsid w:val="005173CF"/>
    <w:rsid w:val="005208E7"/>
    <w:rsid w:val="005C444A"/>
    <w:rsid w:val="005F2EF6"/>
    <w:rsid w:val="0060015E"/>
    <w:rsid w:val="0067177D"/>
    <w:rsid w:val="006B06E0"/>
    <w:rsid w:val="0077682E"/>
    <w:rsid w:val="007948B9"/>
    <w:rsid w:val="007953B7"/>
    <w:rsid w:val="007E0AE6"/>
    <w:rsid w:val="007F6D12"/>
    <w:rsid w:val="00832666"/>
    <w:rsid w:val="008F1648"/>
    <w:rsid w:val="008F6A78"/>
    <w:rsid w:val="009249FD"/>
    <w:rsid w:val="009C3C04"/>
    <w:rsid w:val="009E153F"/>
    <w:rsid w:val="009F195E"/>
    <w:rsid w:val="009F4EE7"/>
    <w:rsid w:val="00A919EE"/>
    <w:rsid w:val="00AC1691"/>
    <w:rsid w:val="00AE5FC1"/>
    <w:rsid w:val="00AF3942"/>
    <w:rsid w:val="00B22E8F"/>
    <w:rsid w:val="00C121F8"/>
    <w:rsid w:val="00C60BC5"/>
    <w:rsid w:val="00CD489E"/>
    <w:rsid w:val="00CD5585"/>
    <w:rsid w:val="00CE6A12"/>
    <w:rsid w:val="00D27581"/>
    <w:rsid w:val="00D30506"/>
    <w:rsid w:val="00D8213A"/>
    <w:rsid w:val="00D84A18"/>
    <w:rsid w:val="00D84CB0"/>
    <w:rsid w:val="00DB6830"/>
    <w:rsid w:val="00E123C9"/>
    <w:rsid w:val="00E36788"/>
    <w:rsid w:val="00E4314E"/>
    <w:rsid w:val="00ED483F"/>
    <w:rsid w:val="00F82AC4"/>
    <w:rsid w:val="00FD58DB"/>
    <w:rsid w:val="0957D956"/>
    <w:rsid w:val="4A42728C"/>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CCE20"/>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customStyle="1" w:styleId="Default">
    <w:name w:val="Default"/>
    <w:rsid w:val="00CE6A12"/>
    <w:pPr>
      <w:autoSpaceDE w:val="0"/>
      <w:autoSpaceDN w:val="0"/>
      <w:adjustRightInd w:val="0"/>
      <w:spacing w:after="0" w:line="240" w:lineRule="auto"/>
    </w:pPr>
    <w:rPr>
      <w:rFonts w:ascii="Calibri" w:hAnsi="Calibri" w:cs="Calibri"/>
      <w:color w:val="000000"/>
      <w:sz w:val="24"/>
      <w:szCs w:val="24"/>
      <w:lang w:val="cs-CZ"/>
    </w:rPr>
  </w:style>
  <w:style w:type="character" w:styleId="Hyperlink">
    <w:name w:val="Hyperlink"/>
    <w:basedOn w:val="DefaultParagraphFont"/>
    <w:uiPriority w:val="99"/>
    <w:unhideWhenUsed/>
    <w:rsid w:val="000D7902"/>
    <w:rPr>
      <w:color w:val="0000FF" w:themeColor="hyperlink"/>
      <w:u w:val="single"/>
    </w:rPr>
  </w:style>
  <w:style w:type="character" w:styleId="UnresolvedMention">
    <w:name w:val="Unresolved Mention"/>
    <w:basedOn w:val="DefaultParagraphFont"/>
    <w:uiPriority w:val="99"/>
    <w:semiHidden/>
    <w:unhideWhenUsed/>
    <w:rsid w:val="000D7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us@surao.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32057884-A202-4D4A-A7AD-1C81652B83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64AA9B-A748-4963-BAAA-FF2CCB204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5B0066-43F9-4D82-9789-86F84E9856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477</Words>
  <Characters>2815</Characters>
  <Application>Microsoft Office Word</Application>
  <DocSecurity>0</DocSecurity>
  <Lines>53</Lines>
  <Paragraphs>31</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2</cp:revision>
  <dcterms:created xsi:type="dcterms:W3CDTF">2024-08-01T09:41:00Z</dcterms:created>
  <dcterms:modified xsi:type="dcterms:W3CDTF">2024-08-01T09:41:00Z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MediaServiceImageTags">
    <vt:lpwstr/>
  </property>
  <property fmtid="{D5CDD505-2E9C-101B-9397-08002B2CF9AE}" pid="4" name="GrammarlyDocumentId">
    <vt:lpwstr>ed5f8371c41d3326ab4182e0e96735c0bf7fce341e4504cbfb0ee831f553969b</vt:lpwstr>
  </property>
</Properties>
</file>