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BCC7F9" w14:textId="77777777" w:rsidR="00285532" w:rsidRPr="00B030C1" w:rsidRDefault="18118102" w:rsidP="18118102">
      <w:pPr>
        <w:shd w:val="clear" w:color="auto" w:fill="FFFFFF" w:themeFill="background1"/>
        <w:spacing w:after="120"/>
        <w:jc w:val="center"/>
        <w:rPr>
          <w:b/>
          <w:bCs/>
          <w:color w:val="116AAF"/>
        </w:rPr>
      </w:pPr>
      <w:r w:rsidRPr="00B030C1">
        <w:rPr>
          <w:b/>
          <w:bCs/>
          <w:color w:val="116AAF"/>
          <w:sz w:val="32"/>
          <w:szCs w:val="32"/>
        </w:rPr>
        <w:t>Integration Group for the Safety Case (IGSC) Symposium 2024</w:t>
      </w:r>
      <w:r w:rsidR="00285532" w:rsidRPr="00B030C1">
        <w:br/>
      </w:r>
      <w:r w:rsidRPr="00B030C1">
        <w:rPr>
          <w:i/>
          <w:iCs/>
          <w:color w:val="116AAF"/>
        </w:rPr>
        <w:t>MOVING TOWARDS THE CONSTRUCTION OF A SAFE DGR – GETTING REAL</w:t>
      </w:r>
    </w:p>
    <w:p w14:paraId="2C5087F4" w14:textId="77777777" w:rsidR="009249FD" w:rsidRPr="00B030C1" w:rsidRDefault="009249FD" w:rsidP="002A603E">
      <w:pPr>
        <w:spacing w:after="0" w:line="240" w:lineRule="auto"/>
        <w:jc w:val="center"/>
        <w:rPr>
          <w:rFonts w:asciiTheme="majorHAnsi" w:hAnsiTheme="majorHAnsi"/>
          <w:b/>
        </w:rPr>
      </w:pPr>
    </w:p>
    <w:p w14:paraId="287C7615" w14:textId="77777777" w:rsidR="00ED483F" w:rsidRPr="00B030C1" w:rsidRDefault="00ED483F" w:rsidP="002A603E">
      <w:pPr>
        <w:spacing w:after="0" w:line="240" w:lineRule="auto"/>
        <w:jc w:val="center"/>
        <w:rPr>
          <w:rFonts w:cstheme="minorHAnsi"/>
          <w:b/>
        </w:rPr>
      </w:pPr>
    </w:p>
    <w:tbl>
      <w:tblPr>
        <w:tblStyle w:val="TableGrid"/>
        <w:tblW w:w="0" w:type="auto"/>
        <w:tblLook w:val="04A0" w:firstRow="1" w:lastRow="0" w:firstColumn="1" w:lastColumn="0" w:noHBand="0" w:noVBand="1"/>
      </w:tblPr>
      <w:tblGrid>
        <w:gridCol w:w="4513"/>
        <w:gridCol w:w="4503"/>
      </w:tblGrid>
      <w:tr w:rsidR="00ED483F" w:rsidRPr="00B030C1" w14:paraId="0F2720A1" w14:textId="77777777" w:rsidTr="79C4D77F">
        <w:tc>
          <w:tcPr>
            <w:tcW w:w="4583" w:type="dxa"/>
          </w:tcPr>
          <w:p w14:paraId="49CAC052" w14:textId="58B9EE9B" w:rsidR="00ED483F" w:rsidRPr="00B030C1" w:rsidRDefault="18118102" w:rsidP="18118102">
            <w:pPr>
              <w:spacing w:before="60" w:after="60"/>
              <w:rPr>
                <w:b/>
                <w:bCs/>
              </w:rPr>
            </w:pPr>
            <w:r w:rsidRPr="00B030C1">
              <w:rPr>
                <w:b/>
                <w:bCs/>
              </w:rPr>
              <w:t>Abstract Number</w:t>
            </w:r>
            <w:r w:rsidRPr="00B030C1">
              <w:rPr>
                <w:b/>
                <w:bCs/>
                <w:lang w:eastAsia="ja-JP"/>
              </w:rPr>
              <w:t xml:space="preserve">:  </w:t>
            </w:r>
            <w:r w:rsidR="00AE73DD" w:rsidRPr="00B030C1">
              <w:rPr>
                <w:b/>
                <w:bCs/>
                <w:lang w:eastAsia="ja-JP"/>
              </w:rPr>
              <w:t>25</w:t>
            </w:r>
            <w:r w:rsidRPr="00B030C1">
              <w:rPr>
                <w:noProof/>
              </w:rPr>
              <w:t> </w:t>
            </w:r>
            <w:r w:rsidRPr="00B030C1">
              <w:rPr>
                <w:noProof/>
              </w:rPr>
              <w:t> </w:t>
            </w:r>
            <w:r w:rsidRPr="00B030C1">
              <w:rPr>
                <w:noProof/>
              </w:rPr>
              <w:t> </w:t>
            </w:r>
            <w:r w:rsidRPr="00B030C1">
              <w:rPr>
                <w:noProof/>
              </w:rPr>
              <w:t> </w:t>
            </w:r>
            <w:r w:rsidRPr="00B030C1">
              <w:rPr>
                <w:noProof/>
              </w:rPr>
              <w:t> </w:t>
            </w:r>
          </w:p>
        </w:tc>
        <w:tc>
          <w:tcPr>
            <w:tcW w:w="4583" w:type="dxa"/>
          </w:tcPr>
          <w:p w14:paraId="0240E894" w14:textId="540D81F5" w:rsidR="00ED483F" w:rsidRPr="00041622" w:rsidRDefault="00041622" w:rsidP="18118102">
            <w:pPr>
              <w:spacing w:before="60" w:after="60"/>
              <w:rPr>
                <w:b/>
                <w:bCs/>
                <w:lang w:eastAsia="ja-JP"/>
              </w:rPr>
            </w:pPr>
            <w:r>
              <w:rPr>
                <w:rFonts w:cstheme="minorHAnsi" w:hint="eastAsia"/>
                <w:b/>
                <w:lang w:eastAsia="zh-CN"/>
              </w:rPr>
              <w:t>P</w:t>
            </w:r>
            <w:r w:rsidRPr="003B5F28">
              <w:rPr>
                <w:rFonts w:cstheme="minorHAnsi"/>
                <w:b/>
                <w:lang w:eastAsia="ja-JP"/>
              </w:rPr>
              <w:t>oster P8</w:t>
            </w:r>
            <w:r>
              <w:rPr>
                <w:rFonts w:cstheme="minorHAnsi" w:hint="eastAsia"/>
                <w:b/>
                <w:lang w:eastAsia="zh-CN"/>
              </w:rPr>
              <w:t>.2</w:t>
            </w:r>
          </w:p>
        </w:tc>
      </w:tr>
      <w:tr w:rsidR="00ED483F" w:rsidRPr="00B030C1" w14:paraId="1BD80930" w14:textId="77777777" w:rsidTr="79C4D77F">
        <w:trPr>
          <w:trHeight w:val="461"/>
        </w:trPr>
        <w:tc>
          <w:tcPr>
            <w:tcW w:w="9166" w:type="dxa"/>
            <w:gridSpan w:val="2"/>
          </w:tcPr>
          <w:p w14:paraId="6B1B7011" w14:textId="77777777" w:rsidR="00C60BC5" w:rsidRPr="00B030C1" w:rsidRDefault="18118102" w:rsidP="18118102">
            <w:pPr>
              <w:spacing w:before="60" w:after="60"/>
              <w:rPr>
                <w:b/>
                <w:bCs/>
                <w:lang w:eastAsia="ja-JP"/>
              </w:rPr>
            </w:pPr>
            <w:r w:rsidRPr="00B030C1">
              <w:rPr>
                <w:b/>
                <w:bCs/>
              </w:rPr>
              <w:t>Author</w:t>
            </w:r>
            <w:r w:rsidRPr="00B030C1">
              <w:rPr>
                <w:b/>
                <w:bCs/>
                <w:lang w:eastAsia="ja-JP"/>
              </w:rPr>
              <w:t>:</w:t>
            </w:r>
          </w:p>
          <w:p w14:paraId="16A73A22" w14:textId="0E29FF8A" w:rsidR="00AF3942" w:rsidRPr="00B030C1" w:rsidRDefault="18118102" w:rsidP="18118102">
            <w:pPr>
              <w:spacing w:before="60" w:after="60"/>
              <w:rPr>
                <w:b/>
                <w:bCs/>
                <w:lang w:eastAsia="ja-JP"/>
              </w:rPr>
            </w:pPr>
            <w:r w:rsidRPr="00B030C1">
              <w:rPr>
                <w:b/>
                <w:bCs/>
                <w:lang w:eastAsia="ja-JP"/>
              </w:rPr>
              <w:t>J. Kindlein et al.</w:t>
            </w:r>
          </w:p>
          <w:p w14:paraId="286DEADE" w14:textId="6E0ADDFF" w:rsidR="00AF3942" w:rsidRPr="00B030C1" w:rsidRDefault="00B030C1" w:rsidP="002A603E">
            <w:pPr>
              <w:spacing w:before="60" w:after="60"/>
              <w:rPr>
                <w:rFonts w:cstheme="minorHAnsi"/>
                <w:b/>
                <w:lang w:eastAsia="ja-JP"/>
              </w:rPr>
            </w:pPr>
            <w:r w:rsidRPr="00B030C1">
              <w:rPr>
                <w:rFonts w:cstheme="minorHAnsi"/>
                <w:b/>
                <w:lang w:eastAsia="ja-JP"/>
              </w:rPr>
              <w:t xml:space="preserve">Affiliation of first author: </w:t>
            </w:r>
            <w:proofErr w:type="spellStart"/>
            <w:r w:rsidRPr="00B030C1">
              <w:rPr>
                <w:rFonts w:cstheme="minorHAnsi"/>
                <w:b/>
                <w:lang w:eastAsia="ja-JP"/>
              </w:rPr>
              <w:t>Bundesgesellschaft</w:t>
            </w:r>
            <w:proofErr w:type="spellEnd"/>
            <w:r w:rsidRPr="00B030C1">
              <w:rPr>
                <w:rFonts w:cstheme="minorHAnsi"/>
                <w:b/>
                <w:lang w:eastAsia="ja-JP"/>
              </w:rPr>
              <w:t xml:space="preserve"> für </w:t>
            </w:r>
            <w:proofErr w:type="spellStart"/>
            <w:r w:rsidRPr="00B030C1">
              <w:rPr>
                <w:rFonts w:cstheme="minorHAnsi"/>
                <w:b/>
                <w:lang w:eastAsia="ja-JP"/>
              </w:rPr>
              <w:t>Endlagerung</w:t>
            </w:r>
            <w:proofErr w:type="spellEnd"/>
            <w:r w:rsidRPr="00B030C1">
              <w:rPr>
                <w:rFonts w:cstheme="minorHAnsi"/>
                <w:b/>
                <w:lang w:eastAsia="ja-JP"/>
              </w:rPr>
              <w:t xml:space="preserve"> </w:t>
            </w:r>
            <w:proofErr w:type="spellStart"/>
            <w:r w:rsidRPr="00B030C1">
              <w:rPr>
                <w:rFonts w:cstheme="minorHAnsi"/>
                <w:b/>
                <w:lang w:eastAsia="ja-JP"/>
              </w:rPr>
              <w:t>mbH</w:t>
            </w:r>
            <w:proofErr w:type="spellEnd"/>
            <w:r w:rsidRPr="00B030C1">
              <w:rPr>
                <w:rFonts w:cstheme="minorHAnsi"/>
                <w:b/>
                <w:lang w:eastAsia="ja-JP"/>
              </w:rPr>
              <w:t xml:space="preserve"> (BGE), Germany, </w:t>
            </w:r>
            <w:hyperlink r:id="rId11" w:history="1">
              <w:r w:rsidRPr="00B030C1">
                <w:rPr>
                  <w:rStyle w:val="Hyperlink"/>
                  <w:rFonts w:cstheme="minorHAnsi"/>
                  <w:b/>
                  <w:lang w:eastAsia="ja-JP"/>
                </w:rPr>
                <w:t>jonathan.kindlein@bge.de</w:t>
              </w:r>
            </w:hyperlink>
            <w:r w:rsidRPr="00B030C1">
              <w:rPr>
                <w:rFonts w:cstheme="minorHAnsi"/>
                <w:b/>
                <w:lang w:eastAsia="ja-JP"/>
              </w:rPr>
              <w:t xml:space="preserve"> </w:t>
            </w:r>
          </w:p>
        </w:tc>
      </w:tr>
      <w:tr w:rsidR="00ED483F" w:rsidRPr="00B030C1" w14:paraId="3A0B6CB2" w14:textId="77777777" w:rsidTr="79C4D77F">
        <w:trPr>
          <w:trHeight w:val="952"/>
        </w:trPr>
        <w:tc>
          <w:tcPr>
            <w:tcW w:w="9166" w:type="dxa"/>
            <w:gridSpan w:val="2"/>
          </w:tcPr>
          <w:p w14:paraId="49E5354D" w14:textId="77777777" w:rsidR="009249FD" w:rsidRPr="00B030C1" w:rsidRDefault="18118102" w:rsidP="18118102">
            <w:pPr>
              <w:spacing w:before="60" w:after="60"/>
              <w:rPr>
                <w:b/>
                <w:bCs/>
                <w:lang w:eastAsia="ja-JP"/>
              </w:rPr>
            </w:pPr>
            <w:r w:rsidRPr="00B030C1">
              <w:rPr>
                <w:b/>
                <w:bCs/>
                <w:lang w:eastAsia="ja-JP"/>
              </w:rPr>
              <w:t xml:space="preserve">Abstract </w:t>
            </w:r>
            <w:r w:rsidRPr="00B030C1">
              <w:rPr>
                <w:b/>
                <w:bCs/>
              </w:rPr>
              <w:t>Title</w:t>
            </w:r>
            <w:r w:rsidRPr="00B030C1">
              <w:rPr>
                <w:b/>
                <w:bCs/>
                <w:lang w:eastAsia="ja-JP"/>
              </w:rPr>
              <w:t>:</w:t>
            </w:r>
          </w:p>
          <w:p w14:paraId="49937C11" w14:textId="1933F9EF" w:rsidR="00C60BC5" w:rsidRPr="00B030C1" w:rsidRDefault="00B32DA5" w:rsidP="002A603E">
            <w:pPr>
              <w:spacing w:before="60" w:after="60"/>
              <w:rPr>
                <w:rFonts w:cstheme="minorHAnsi"/>
                <w:b/>
              </w:rPr>
            </w:pPr>
            <w:r w:rsidRPr="00B32DA5">
              <w:rPr>
                <w:b/>
                <w:bCs/>
                <w:lang w:eastAsia="ja-JP"/>
              </w:rPr>
              <w:t>IGSC MeSA-2 results: Information flow when producing a safety case and design requirements</w:t>
            </w:r>
          </w:p>
        </w:tc>
      </w:tr>
      <w:tr w:rsidR="00285532" w:rsidRPr="00B030C1" w14:paraId="634A57D2" w14:textId="77777777" w:rsidTr="79C4D77F">
        <w:trPr>
          <w:trHeight w:val="2950"/>
        </w:trPr>
        <w:tc>
          <w:tcPr>
            <w:tcW w:w="9166" w:type="dxa"/>
            <w:gridSpan w:val="2"/>
            <w:tcBorders>
              <w:bottom w:val="single" w:sz="4" w:space="0" w:color="auto"/>
            </w:tcBorders>
          </w:tcPr>
          <w:p w14:paraId="6355BE4E" w14:textId="77777777" w:rsidR="00285532" w:rsidRPr="00B030C1" w:rsidRDefault="18118102" w:rsidP="00560603">
            <w:pPr>
              <w:spacing w:before="60" w:after="60"/>
              <w:jc w:val="both"/>
              <w:rPr>
                <w:b/>
                <w:bCs/>
                <w:lang w:eastAsia="ja-JP"/>
              </w:rPr>
            </w:pPr>
            <w:r w:rsidRPr="00B030C1">
              <w:rPr>
                <w:b/>
                <w:bCs/>
                <w:lang w:eastAsia="ja-JP"/>
              </w:rPr>
              <w:t>Abstract (300-500 words):</w:t>
            </w:r>
          </w:p>
          <w:p w14:paraId="52CAC243" w14:textId="7D69EEB7" w:rsidR="00802C23" w:rsidRPr="00B030C1" w:rsidRDefault="18118102" w:rsidP="00560603">
            <w:pPr>
              <w:spacing w:before="60" w:after="240"/>
              <w:jc w:val="both"/>
              <w:rPr>
                <w:lang w:eastAsia="ja-JP"/>
              </w:rPr>
            </w:pPr>
            <w:r w:rsidRPr="00B030C1">
              <w:rPr>
                <w:lang w:eastAsia="ja-JP"/>
              </w:rPr>
              <w:t xml:space="preserve">Post-closure safety assessment stands at the core of each safety case: it helps demonstrate repository safety and informs safety-related programme decisions. While the details of assessment methods may vary, depending on regulations, programme context, and the specific safety concept under consideration, the general methodology for demonstrating post-closure safety is established and well-understood (see e.g., Methods for Safety Assessment of Geological Disposal Facilities for Radioactive Waste. Outcomes of the NEA </w:t>
            </w:r>
            <w:proofErr w:type="spellStart"/>
            <w:r w:rsidRPr="00B030C1">
              <w:rPr>
                <w:lang w:eastAsia="ja-JP"/>
              </w:rPr>
              <w:t>MeSA</w:t>
            </w:r>
            <w:proofErr w:type="spellEnd"/>
            <w:r w:rsidRPr="00B030C1">
              <w:rPr>
                <w:lang w:eastAsia="ja-JP"/>
              </w:rPr>
              <w:t xml:space="preserve"> Initiative, 2012). </w:t>
            </w:r>
          </w:p>
          <w:p w14:paraId="42CAE51A" w14:textId="6EF8282D" w:rsidR="00F32E1F" w:rsidRPr="00B030C1" w:rsidRDefault="18118102" w:rsidP="00560603">
            <w:pPr>
              <w:spacing w:before="60" w:after="240"/>
              <w:jc w:val="both"/>
              <w:rPr>
                <w:lang w:eastAsia="ja-JP"/>
              </w:rPr>
            </w:pPr>
            <w:r w:rsidRPr="00B030C1">
              <w:rPr>
                <w:lang w:eastAsia="ja-JP"/>
              </w:rPr>
              <w:t xml:space="preserve">However, in advanced programmes, implementation aspects become increasingly important: the safety case must </w:t>
            </w:r>
            <w:r w:rsidRPr="00B030C1">
              <w:rPr>
                <w:i/>
                <w:iCs/>
                <w:lang w:eastAsia="ja-JP"/>
              </w:rPr>
              <w:t>demonstrate</w:t>
            </w:r>
            <w:r w:rsidRPr="00B030C1">
              <w:rPr>
                <w:lang w:eastAsia="ja-JP"/>
              </w:rPr>
              <w:t xml:space="preserve"> safety, but the site together with the appropriate design and its implementation must </w:t>
            </w:r>
            <w:r w:rsidRPr="00B030C1">
              <w:rPr>
                <w:i/>
                <w:iCs/>
                <w:lang w:eastAsia="ja-JP"/>
              </w:rPr>
              <w:t>achieve</w:t>
            </w:r>
            <w:r w:rsidRPr="00B030C1">
              <w:rPr>
                <w:lang w:eastAsia="ja-JP"/>
              </w:rPr>
              <w:t xml:space="preserve"> it. At the interface between the safety case, the design, and its implementation, sit the derivation and management of requirements. This interface would benefit from clear methodological consideration and documentation, as has been done in the past for safety assessment and safety case methodology. To systematically address this, the IGSC has established an initiative endeavouring to develop a holistic view on these aspects and embed the existing </w:t>
            </w:r>
            <w:proofErr w:type="spellStart"/>
            <w:r w:rsidRPr="00B030C1">
              <w:rPr>
                <w:lang w:eastAsia="ja-JP"/>
              </w:rPr>
              <w:t>MeSA</w:t>
            </w:r>
            <w:proofErr w:type="spellEnd"/>
            <w:r w:rsidRPr="00B030C1">
              <w:rPr>
                <w:lang w:eastAsia="ja-JP"/>
              </w:rPr>
              <w:t xml:space="preserve"> framework within this wider context. </w:t>
            </w:r>
          </w:p>
          <w:p w14:paraId="0D83B94D" w14:textId="5DA7030D" w:rsidR="00717ADB" w:rsidRPr="00B030C1" w:rsidRDefault="18118102" w:rsidP="00560603">
            <w:pPr>
              <w:spacing w:before="60" w:after="240"/>
              <w:jc w:val="both"/>
              <w:rPr>
                <w:lang w:eastAsia="ja-JP"/>
              </w:rPr>
            </w:pPr>
            <w:r w:rsidRPr="00B030C1">
              <w:rPr>
                <w:lang w:eastAsia="ja-JP"/>
              </w:rPr>
              <w:t xml:space="preserve">The MeSA-2 initiative aims at extending the description of the interaction between the safety case and the development of the design basis in the </w:t>
            </w:r>
            <w:proofErr w:type="spellStart"/>
            <w:r w:rsidRPr="00B030C1">
              <w:rPr>
                <w:lang w:eastAsia="ja-JP"/>
              </w:rPr>
              <w:t>MeSA</w:t>
            </w:r>
            <w:proofErr w:type="spellEnd"/>
            <w:r w:rsidRPr="00B030C1">
              <w:rPr>
                <w:lang w:eastAsia="ja-JP"/>
              </w:rPr>
              <w:t xml:space="preserve"> framework, taking into account the aforementioned interface between safety assessments and requirements management. A key aspect of MeSA-2 will be how to apply requirements management in the face of the significant uncertainty found in a DGR. The presented outcomes particularly include updated activities and information flowcharts in which the interplay of technical requirements with assessment activities is being described. Issues considered are technical feasibility, long-term safety and operational safety and compliance with the regulatory framework.</w:t>
            </w:r>
          </w:p>
          <w:p w14:paraId="02BC913F" w14:textId="795C870C" w:rsidR="0073587C" w:rsidRPr="00B030C1" w:rsidRDefault="18118102" w:rsidP="00560603">
            <w:pPr>
              <w:spacing w:before="60" w:after="240"/>
              <w:jc w:val="both"/>
              <w:rPr>
                <w:lang w:eastAsia="ja-JP"/>
              </w:rPr>
            </w:pPr>
            <w:r w:rsidRPr="00B030C1">
              <w:rPr>
                <w:lang w:eastAsia="ja-JP"/>
              </w:rPr>
              <w:t>On the poster, we will present two newly developed flowcharts resulting from the initiative on (</w:t>
            </w:r>
            <w:proofErr w:type="spellStart"/>
            <w:r w:rsidRPr="00B030C1">
              <w:rPr>
                <w:lang w:eastAsia="ja-JP"/>
              </w:rPr>
              <w:t>i</w:t>
            </w:r>
            <w:proofErr w:type="spellEnd"/>
            <w:r w:rsidRPr="00B030C1">
              <w:rPr>
                <w:lang w:eastAsia="ja-JP"/>
              </w:rPr>
              <w:t xml:space="preserve">) the role of post-closure safety assessment in the wider context of the safety case and repository development and (ii) the post-closure safety assessment methodology itself. </w:t>
            </w:r>
          </w:p>
          <w:p w14:paraId="589BE59D" w14:textId="01F3C9C0" w:rsidR="0086713A" w:rsidRPr="00B030C1" w:rsidRDefault="18118102" w:rsidP="00560603">
            <w:pPr>
              <w:spacing w:before="60" w:after="240"/>
              <w:jc w:val="both"/>
              <w:rPr>
                <w:lang w:eastAsia="ja-JP"/>
              </w:rPr>
            </w:pPr>
            <w:r w:rsidRPr="00B030C1">
              <w:rPr>
                <w:lang w:eastAsia="ja-JP"/>
              </w:rPr>
              <w:t xml:space="preserve">The </w:t>
            </w:r>
            <w:proofErr w:type="spellStart"/>
            <w:r w:rsidRPr="00B030C1">
              <w:rPr>
                <w:lang w:eastAsia="ja-JP"/>
              </w:rPr>
              <w:t>MeSA</w:t>
            </w:r>
            <w:proofErr w:type="spellEnd"/>
            <w:r w:rsidRPr="00B030C1">
              <w:rPr>
                <w:lang w:eastAsia="ja-JP"/>
              </w:rPr>
              <w:t xml:space="preserve"> flowcharts have been updated, providing more details on activities involved in implementing a repository programme and preparing the associated safety case.  They also take into account inputs from the Expert Group on a Data and Information Management Strategy for the Safety Case (EGSSC) of the NEA Working Party on Information, Data and Knowledge Management </w:t>
            </w:r>
            <w:r w:rsidRPr="00B030C1">
              <w:rPr>
                <w:lang w:eastAsia="ja-JP"/>
              </w:rPr>
              <w:lastRenderedPageBreak/>
              <w:t>(WP-IDKM), and hereby reflect the state of the art on information and data management as well as on safety case ontology development.</w:t>
            </w:r>
          </w:p>
          <w:p w14:paraId="567E9CE1" w14:textId="6DB5CC05" w:rsidR="00024F01" w:rsidRPr="00B030C1" w:rsidRDefault="18118102" w:rsidP="00560603">
            <w:pPr>
              <w:spacing w:before="60" w:after="240"/>
              <w:jc w:val="both"/>
              <w:rPr>
                <w:lang w:eastAsia="ja-JP"/>
              </w:rPr>
            </w:pPr>
            <w:r w:rsidRPr="00B030C1">
              <w:rPr>
                <w:lang w:eastAsia="ja-JP"/>
              </w:rPr>
              <w:t>Core message of the flowcharts is the connection and information flow between safety assessments and their assessment basis on the one hand, and feedbacks to/from design and implementation processes on the other hand. Central elements are safety assessments, design requirements and design specifications (including their verification), as well as fundamental safety and radiation protection principles.</w:t>
            </w:r>
          </w:p>
          <w:p w14:paraId="6669AA5F" w14:textId="512EE2C2" w:rsidR="00E24189" w:rsidRPr="00B030C1" w:rsidRDefault="18118102" w:rsidP="00560603">
            <w:pPr>
              <w:spacing w:before="60" w:after="240"/>
              <w:jc w:val="both"/>
              <w:rPr>
                <w:lang w:eastAsia="ja-JP"/>
              </w:rPr>
            </w:pPr>
            <w:r w:rsidRPr="00B030C1">
              <w:rPr>
                <w:lang w:eastAsia="ja-JP"/>
              </w:rPr>
              <w:t xml:space="preserve">The results are a contribution to the update of the </w:t>
            </w:r>
            <w:proofErr w:type="spellStart"/>
            <w:r w:rsidRPr="00B030C1">
              <w:rPr>
                <w:lang w:eastAsia="ja-JP"/>
              </w:rPr>
              <w:t>MeSA</w:t>
            </w:r>
            <w:proofErr w:type="spellEnd"/>
            <w:r w:rsidRPr="00B030C1">
              <w:rPr>
                <w:lang w:eastAsia="ja-JP"/>
              </w:rPr>
              <w:t xml:space="preserve"> report (2012) carried out as part of the overarching initiative. Special consideration has been given to the relationship with the IGSC’s </w:t>
            </w:r>
            <w:proofErr w:type="spellStart"/>
            <w:r w:rsidRPr="00B030C1">
              <w:rPr>
                <w:lang w:eastAsia="ja-JP"/>
              </w:rPr>
              <w:t>GeneSiS</w:t>
            </w:r>
            <w:proofErr w:type="spellEnd"/>
            <w:r w:rsidRPr="00B030C1">
              <w:rPr>
                <w:lang w:eastAsia="ja-JP"/>
              </w:rPr>
              <w:t xml:space="preserve"> project addressing the evolution from generic to site-specific safety cases as well as with the ongoing EURAD and GEOSAF works on requirements management.</w:t>
            </w:r>
          </w:p>
          <w:p w14:paraId="2BA77610" w14:textId="089E8664" w:rsidR="00E24189" w:rsidRPr="00B030C1" w:rsidRDefault="18118102" w:rsidP="00560603">
            <w:pPr>
              <w:spacing w:before="60" w:after="60"/>
              <w:jc w:val="both"/>
              <w:rPr>
                <w:lang w:eastAsia="ja-JP"/>
              </w:rPr>
            </w:pPr>
            <w:r w:rsidRPr="00B030C1">
              <w:rPr>
                <w:lang w:eastAsia="ja-JP"/>
              </w:rPr>
              <w:t>=== end of abstract ===</w:t>
            </w:r>
          </w:p>
          <w:p w14:paraId="700DC438" w14:textId="21B73425" w:rsidR="007611CF" w:rsidRPr="00B030C1" w:rsidRDefault="18118102" w:rsidP="00560603">
            <w:pPr>
              <w:spacing w:before="60" w:after="60"/>
              <w:jc w:val="both"/>
              <w:rPr>
                <w:lang w:eastAsia="ja-JP"/>
              </w:rPr>
            </w:pPr>
            <w:r w:rsidRPr="00B030C1">
              <w:rPr>
                <w:lang w:eastAsia="ja-JP"/>
              </w:rPr>
              <w:t xml:space="preserve">Ideally, an overview presentation of the MeSA-2 initiative should be given orally (see abstract by Klaus-Jürgen Röhlig et al.), with two supporting poster presentations: One based on this abstract and another on a process-oriented flowchart by L. Bailey, L. Gray, Th. U. Kaempfer, and S. </w:t>
            </w:r>
            <w:proofErr w:type="spellStart"/>
            <w:r w:rsidRPr="00B030C1">
              <w:rPr>
                <w:lang w:eastAsia="ja-JP"/>
              </w:rPr>
              <w:t>Voinis</w:t>
            </w:r>
            <w:proofErr w:type="spellEnd"/>
            <w:r w:rsidRPr="00B030C1">
              <w:rPr>
                <w:lang w:eastAsia="ja-JP"/>
              </w:rPr>
              <w:t>.</w:t>
            </w:r>
          </w:p>
          <w:p w14:paraId="5B2D898F" w14:textId="7C521742" w:rsidR="00211CC8" w:rsidRPr="00B030C1" w:rsidRDefault="18118102" w:rsidP="00560603">
            <w:pPr>
              <w:spacing w:before="60" w:after="60"/>
              <w:jc w:val="both"/>
              <w:rPr>
                <w:lang w:eastAsia="ja-JP"/>
              </w:rPr>
            </w:pPr>
            <w:r w:rsidRPr="00B030C1">
              <w:rPr>
                <w:lang w:eastAsia="ja-JP"/>
              </w:rPr>
              <w:t>The list of initiative members and, thus, co-authors is too long to fit into this form, but their work and contributions are herewith highly appreciated and acknowledged.</w:t>
            </w:r>
          </w:p>
          <w:p w14:paraId="7BB4D488" w14:textId="745349BE" w:rsidR="003B1F4D" w:rsidRPr="00B030C1" w:rsidRDefault="18118102" w:rsidP="00560603">
            <w:pPr>
              <w:spacing w:before="60" w:after="60"/>
              <w:jc w:val="both"/>
              <w:rPr>
                <w:lang w:eastAsia="ja-JP"/>
              </w:rPr>
            </w:pPr>
            <w:r w:rsidRPr="00B030C1">
              <w:rPr>
                <w:lang w:eastAsia="ja-JP"/>
              </w:rPr>
              <w:t>The themes covered in the initiative are rather broad-ranging. Thus, despite of having chosen symposium topic 5 for this abstract, the authors believe that it might also fit into topics 1 or 6.</w:t>
            </w:r>
          </w:p>
        </w:tc>
      </w:tr>
    </w:tbl>
    <w:p w14:paraId="5C25AB90" w14:textId="77777777" w:rsidR="00ED483F" w:rsidRPr="00B030C1" w:rsidRDefault="00ED483F" w:rsidP="002A603E">
      <w:pPr>
        <w:spacing w:after="0" w:line="240" w:lineRule="auto"/>
        <w:rPr>
          <w:rFonts w:cstheme="minorHAnsi"/>
          <w:b/>
          <w:lang w:eastAsia="ja-JP"/>
        </w:rPr>
      </w:pPr>
    </w:p>
    <w:sectPr w:rsidR="00ED483F" w:rsidRPr="00B030C1" w:rsidSect="0024518F">
      <w:headerReference w:type="even" r:id="rId12"/>
      <w:headerReference w:type="default" r:id="rId13"/>
      <w:head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591E72" w14:textId="77777777" w:rsidR="00E01F86" w:rsidRDefault="00E01F86" w:rsidP="00AF3942">
      <w:pPr>
        <w:spacing w:after="0" w:line="240" w:lineRule="auto"/>
      </w:pPr>
      <w:r>
        <w:separator/>
      </w:r>
    </w:p>
  </w:endnote>
  <w:endnote w:type="continuationSeparator" w:id="0">
    <w:p w14:paraId="2F872A39" w14:textId="77777777" w:rsidR="00E01F86" w:rsidRDefault="00E01F86" w:rsidP="00AF39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7B70E5" w14:textId="77777777" w:rsidR="00E01F86" w:rsidRDefault="00E01F86" w:rsidP="00AF3942">
      <w:pPr>
        <w:spacing w:after="0" w:line="240" w:lineRule="auto"/>
      </w:pPr>
      <w:r>
        <w:separator/>
      </w:r>
    </w:p>
  </w:footnote>
  <w:footnote w:type="continuationSeparator" w:id="0">
    <w:p w14:paraId="16BE7DAF" w14:textId="77777777" w:rsidR="00E01F86" w:rsidRDefault="00E01F86" w:rsidP="00AF39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300CE" w14:textId="0BB5C760" w:rsidR="00DD229E" w:rsidRDefault="00DD229E">
    <w:pPr>
      <w:pStyle w:val="Header"/>
    </w:pPr>
    <w:r>
      <w:rPr>
        <w:noProof/>
        <w:lang w:val="de-DE" w:eastAsia="de-DE"/>
      </w:rPr>
      <mc:AlternateContent>
        <mc:Choice Requires="wps">
          <w:drawing>
            <wp:anchor distT="0" distB="0" distL="0" distR="0" simplePos="0" relativeHeight="251659264" behindDoc="0" locked="0" layoutInCell="1" allowOverlap="1" wp14:anchorId="57AE561C" wp14:editId="04EE5FB4">
              <wp:simplePos x="635" y="635"/>
              <wp:positionH relativeFrom="page">
                <wp:align>center</wp:align>
              </wp:positionH>
              <wp:positionV relativeFrom="page">
                <wp:align>top</wp:align>
              </wp:positionV>
              <wp:extent cx="443865" cy="443865"/>
              <wp:effectExtent l="0" t="0" r="16510" b="12065"/>
              <wp:wrapNone/>
              <wp:docPr id="399250372" name="Text Box 2"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F1A73F1" w14:textId="44DECDD3" w:rsidR="00DD229E" w:rsidRPr="00DD229E" w:rsidRDefault="00DD229E" w:rsidP="00DD229E">
                          <w:pPr>
                            <w:spacing w:after="0"/>
                            <w:rPr>
                              <w:rFonts w:ascii="Calibri" w:eastAsia="Calibri" w:hAnsi="Calibri" w:cs="Calibri"/>
                              <w:noProof/>
                              <w:color w:val="000000"/>
                              <w:sz w:val="20"/>
                              <w:szCs w:val="20"/>
                            </w:rPr>
                          </w:pPr>
                          <w:r w:rsidRPr="00DD229E">
                            <w:rPr>
                              <w:rFonts w:ascii="Calibri" w:eastAsia="Calibri" w:hAnsi="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7AE561C" id="_x0000_t202" coordsize="21600,21600" o:spt="202" path="m,l,21600r21600,l21600,xe">
              <v:stroke joinstyle="miter"/>
              <v:path gradientshapeok="t" o:connecttype="rect"/>
            </v:shapetype>
            <v:shape id="Text Box 2" o:spid="_x0000_s1026" type="#_x0000_t202" alt="OFFICIAL" style="position:absolute;margin-left:0;margin-top:0;width:34.95pt;height:34.9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" filled="f" stroked="f">
              <v:textbox style="mso-fit-shape-to-text:t" inset="0,15pt,0,0">
                <w:txbxContent>
                  <w:p w14:paraId="4F1A73F1" w14:textId="44DECDD3" w:rsidR="00DD229E" w:rsidRPr="00DD229E" w:rsidRDefault="00DD229E" w:rsidP="00DD229E">
                    <w:pPr>
                      <w:spacing w:after="0"/>
                      <w:rPr>
                        <w:rFonts w:ascii="Calibri" w:eastAsia="Calibri" w:hAnsi="Calibri" w:cs="Calibri"/>
                        <w:noProof/>
                        <w:color w:val="000000"/>
                        <w:sz w:val="20"/>
                        <w:szCs w:val="20"/>
                      </w:rPr>
                    </w:pPr>
                    <w:r w:rsidRPr="00DD229E">
                      <w:rPr>
                        <w:rFonts w:ascii="Calibri" w:eastAsia="Calibri" w:hAnsi="Calibri" w:cs="Calibri"/>
                        <w:noProof/>
                        <w:color w:val="000000"/>
                        <w:sz w:val="20"/>
                        <w:szCs w:val="20"/>
                      </w:rPr>
                      <w:t>OFFICIAL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59EBE" w14:textId="19961BE0" w:rsidR="00DD229E" w:rsidRDefault="00DD229E">
    <w:pPr>
      <w:pStyle w:val="Header"/>
    </w:pPr>
    <w:r>
      <w:rPr>
        <w:noProof/>
        <w:lang w:val="de-DE" w:eastAsia="de-DE"/>
      </w:rPr>
      <mc:AlternateContent>
        <mc:Choice Requires="wps">
          <w:drawing>
            <wp:anchor distT="0" distB="0" distL="0" distR="0" simplePos="0" relativeHeight="251660288" behindDoc="0" locked="0" layoutInCell="1" allowOverlap="1" wp14:anchorId="2EB80CCF" wp14:editId="2866DBC8">
              <wp:simplePos x="914400" y="447675"/>
              <wp:positionH relativeFrom="page">
                <wp:align>center</wp:align>
              </wp:positionH>
              <wp:positionV relativeFrom="page">
                <wp:align>top</wp:align>
              </wp:positionV>
              <wp:extent cx="443865" cy="443865"/>
              <wp:effectExtent l="0" t="0" r="16510" b="12065"/>
              <wp:wrapNone/>
              <wp:docPr id="1102719209" name="Text Box 3"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DF07BCC" w14:textId="3DCA2524" w:rsidR="00DD229E" w:rsidRPr="00DD229E" w:rsidRDefault="00DD229E" w:rsidP="00DD229E">
                          <w:pPr>
                            <w:spacing w:after="0"/>
                            <w:rPr>
                              <w:rFonts w:ascii="Calibri" w:eastAsia="Calibri" w:hAnsi="Calibri" w:cs="Calibri"/>
                              <w:noProof/>
                              <w:color w:val="000000"/>
                              <w:sz w:val="20"/>
                              <w:szCs w:val="20"/>
                            </w:rPr>
                          </w:pPr>
                          <w:r w:rsidRPr="00DD229E">
                            <w:rPr>
                              <w:rFonts w:ascii="Calibri" w:eastAsia="Calibri" w:hAnsi="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EB80CCF" id="_x0000_t202" coordsize="21600,21600" o:spt="202" path="m,l,21600r21600,l21600,xe">
              <v:stroke joinstyle="miter"/>
              <v:path gradientshapeok="t" o:connecttype="rect"/>
            </v:shapetype>
            <v:shape id="Text Box 3" o:spid="_x0000_s1027" type="#_x0000_t202" alt="OFFICIAL" style="position:absolute;margin-left:0;margin-top:0;width:34.95pt;height:34.95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" filled="f" stroked="f">
              <v:textbox style="mso-fit-shape-to-text:t" inset="0,15pt,0,0">
                <w:txbxContent>
                  <w:p w14:paraId="6DF07BCC" w14:textId="3DCA2524" w:rsidR="00DD229E" w:rsidRPr="00DD229E" w:rsidRDefault="00DD229E" w:rsidP="00DD229E">
                    <w:pPr>
                      <w:spacing w:after="0"/>
                      <w:rPr>
                        <w:rFonts w:ascii="Calibri" w:eastAsia="Calibri" w:hAnsi="Calibri" w:cs="Calibri"/>
                        <w:noProof/>
                        <w:color w:val="000000"/>
                        <w:sz w:val="20"/>
                        <w:szCs w:val="20"/>
                      </w:rPr>
                    </w:pPr>
                    <w:r w:rsidRPr="00DD229E">
                      <w:rPr>
                        <w:rFonts w:ascii="Calibri" w:eastAsia="Calibri" w:hAnsi="Calibri" w:cs="Calibri"/>
                        <w:noProof/>
                        <w:color w:val="000000"/>
                        <w:sz w:val="20"/>
                        <w:szCs w:val="20"/>
                      </w:rPr>
                      <w:t>OFFICIAL</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5FF71" w14:textId="4AF50B41" w:rsidR="00DD229E" w:rsidRDefault="00DD229E">
    <w:pPr>
      <w:pStyle w:val="Header"/>
    </w:pPr>
    <w:r>
      <w:rPr>
        <w:noProof/>
        <w:lang w:val="de-DE" w:eastAsia="de-DE"/>
      </w:rPr>
      <mc:AlternateContent>
        <mc:Choice Requires="wps">
          <w:drawing>
            <wp:anchor distT="0" distB="0" distL="0" distR="0" simplePos="0" relativeHeight="251658240" behindDoc="0" locked="0" layoutInCell="1" allowOverlap="1" wp14:anchorId="35BD9122" wp14:editId="3D397D56">
              <wp:simplePos x="635" y="635"/>
              <wp:positionH relativeFrom="page">
                <wp:align>center</wp:align>
              </wp:positionH>
              <wp:positionV relativeFrom="page">
                <wp:align>top</wp:align>
              </wp:positionV>
              <wp:extent cx="443865" cy="443865"/>
              <wp:effectExtent l="0" t="0" r="16510" b="12065"/>
              <wp:wrapNone/>
              <wp:docPr id="501482325" name="Text Box 1"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7DD8D79" w14:textId="59891447" w:rsidR="00DD229E" w:rsidRPr="00DD229E" w:rsidRDefault="00DD229E" w:rsidP="00DD229E">
                          <w:pPr>
                            <w:spacing w:after="0"/>
                            <w:rPr>
                              <w:rFonts w:ascii="Calibri" w:eastAsia="Calibri" w:hAnsi="Calibri" w:cs="Calibri"/>
                              <w:noProof/>
                              <w:color w:val="000000"/>
                              <w:sz w:val="20"/>
                              <w:szCs w:val="20"/>
                            </w:rPr>
                          </w:pPr>
                          <w:r w:rsidRPr="00DD229E">
                            <w:rPr>
                              <w:rFonts w:ascii="Calibri" w:eastAsia="Calibri" w:hAnsi="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5BD9122" id="_x0000_t202" coordsize="21600,21600" o:spt="202" path="m,l,21600r21600,l21600,xe">
              <v:stroke joinstyle="miter"/>
              <v:path gradientshapeok="t" o:connecttype="rect"/>
            </v:shapetype>
            <v:shape id="Text Box 1" o:spid="_x0000_s1028" type="#_x0000_t202" alt="OFFICIAL" style="position:absolute;margin-left:0;margin-top:0;width:34.95pt;height:34.9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AmGj+oCgIAABwEAAAOAAAA&#10;AAAAAAAAAAAAAC4CAABkcnMvZTJvRG9jLnhtbFBLAQItABQABgAIAAAAIQDUHg1H2AAAAAMBAAAP&#10;AAAAAAAAAAAAAAAAAGQEAABkcnMvZG93bnJldi54bWxQSwUGAAAAAAQABADzAAAAaQUAAAAA&#10;" filled="f" stroked="f">
              <v:textbox style="mso-fit-shape-to-text:t" inset="0,15pt,0,0">
                <w:txbxContent>
                  <w:p w14:paraId="07DD8D79" w14:textId="59891447" w:rsidR="00DD229E" w:rsidRPr="00DD229E" w:rsidRDefault="00DD229E" w:rsidP="00DD229E">
                    <w:pPr>
                      <w:spacing w:after="0"/>
                      <w:rPr>
                        <w:rFonts w:ascii="Calibri" w:eastAsia="Calibri" w:hAnsi="Calibri" w:cs="Calibri"/>
                        <w:noProof/>
                        <w:color w:val="000000"/>
                        <w:sz w:val="20"/>
                        <w:szCs w:val="20"/>
                      </w:rPr>
                    </w:pPr>
                    <w:r w:rsidRPr="00DD229E">
                      <w:rPr>
                        <w:rFonts w:ascii="Calibri" w:eastAsia="Calibri" w:hAnsi="Calibri" w:cs="Calibri"/>
                        <w:noProof/>
                        <w:color w:val="000000"/>
                        <w:sz w:val="20"/>
                        <w:szCs w:val="20"/>
                      </w:rPr>
                      <w:t>OFFICIAL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63659C"/>
    <w:multiLevelType w:val="hybridMultilevel"/>
    <w:tmpl w:val="9A24EBD8"/>
    <w:lvl w:ilvl="0" w:tplc="6DC6A44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4C9F46D6"/>
    <w:multiLevelType w:val="hybridMultilevel"/>
    <w:tmpl w:val="72BE8028"/>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79F86412"/>
    <w:multiLevelType w:val="hybridMultilevel"/>
    <w:tmpl w:val="8276552C"/>
    <w:lvl w:ilvl="0" w:tplc="9BBC02AC">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079600794">
    <w:abstractNumId w:val="1"/>
  </w:num>
  <w:num w:numId="2" w16cid:durableId="498038976">
    <w:abstractNumId w:val="0"/>
  </w:num>
  <w:num w:numId="3" w16cid:durableId="44620006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ocumentProtection w:formatting="1" w:enforcement="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I1NTc1MDEwszAyMTBQ0lEKTi0uzszPAykwrAUAo/c5bSwAAAA="/>
    <w:docVar w:name="OECDDocumentId" w:val="6417169B99A2ECAEFC9AC59D1600B68883ABD512A94F85CC2DEBF804D6ED4B70"/>
  </w:docVars>
  <w:rsids>
    <w:rsidRoot w:val="00ED483F"/>
    <w:rsid w:val="00004978"/>
    <w:rsid w:val="00006677"/>
    <w:rsid w:val="00007A14"/>
    <w:rsid w:val="00011325"/>
    <w:rsid w:val="00023D7C"/>
    <w:rsid w:val="00024F01"/>
    <w:rsid w:val="000340AA"/>
    <w:rsid w:val="00041622"/>
    <w:rsid w:val="00042305"/>
    <w:rsid w:val="00044C09"/>
    <w:rsid w:val="0004578C"/>
    <w:rsid w:val="0005172A"/>
    <w:rsid w:val="00067603"/>
    <w:rsid w:val="00080ED3"/>
    <w:rsid w:val="000B0109"/>
    <w:rsid w:val="000C2815"/>
    <w:rsid w:val="000E4196"/>
    <w:rsid w:val="000F365F"/>
    <w:rsid w:val="001210D2"/>
    <w:rsid w:val="001215B8"/>
    <w:rsid w:val="001257B3"/>
    <w:rsid w:val="00136848"/>
    <w:rsid w:val="00193E62"/>
    <w:rsid w:val="001E04F7"/>
    <w:rsid w:val="001E2DCD"/>
    <w:rsid w:val="002005EB"/>
    <w:rsid w:val="00201563"/>
    <w:rsid w:val="00211CC8"/>
    <w:rsid w:val="0024518F"/>
    <w:rsid w:val="0025791E"/>
    <w:rsid w:val="00261A69"/>
    <w:rsid w:val="00285532"/>
    <w:rsid w:val="002A25C6"/>
    <w:rsid w:val="002A603E"/>
    <w:rsid w:val="002C48DA"/>
    <w:rsid w:val="002C5CFB"/>
    <w:rsid w:val="002E0716"/>
    <w:rsid w:val="002F4A85"/>
    <w:rsid w:val="002F6DDE"/>
    <w:rsid w:val="00330BC9"/>
    <w:rsid w:val="00386C96"/>
    <w:rsid w:val="003B1F4D"/>
    <w:rsid w:val="003D606A"/>
    <w:rsid w:val="003D7FB5"/>
    <w:rsid w:val="00421806"/>
    <w:rsid w:val="00486F08"/>
    <w:rsid w:val="004961BC"/>
    <w:rsid w:val="004A1686"/>
    <w:rsid w:val="004A3E10"/>
    <w:rsid w:val="004B4346"/>
    <w:rsid w:val="004D40A7"/>
    <w:rsid w:val="004E14D9"/>
    <w:rsid w:val="004F1F1F"/>
    <w:rsid w:val="00511097"/>
    <w:rsid w:val="0051751D"/>
    <w:rsid w:val="005208E7"/>
    <w:rsid w:val="005347EF"/>
    <w:rsid w:val="005450C5"/>
    <w:rsid w:val="00560603"/>
    <w:rsid w:val="00586EA2"/>
    <w:rsid w:val="005954B7"/>
    <w:rsid w:val="005B7B53"/>
    <w:rsid w:val="005E6696"/>
    <w:rsid w:val="006126EE"/>
    <w:rsid w:val="00617685"/>
    <w:rsid w:val="00640FF1"/>
    <w:rsid w:val="00667C32"/>
    <w:rsid w:val="0067177D"/>
    <w:rsid w:val="006774E8"/>
    <w:rsid w:val="006826F4"/>
    <w:rsid w:val="006C48FC"/>
    <w:rsid w:val="006D1BB9"/>
    <w:rsid w:val="006D57BE"/>
    <w:rsid w:val="0070051F"/>
    <w:rsid w:val="00703726"/>
    <w:rsid w:val="00717ADB"/>
    <w:rsid w:val="0072273E"/>
    <w:rsid w:val="007319F6"/>
    <w:rsid w:val="0073587C"/>
    <w:rsid w:val="0073678F"/>
    <w:rsid w:val="0074091E"/>
    <w:rsid w:val="007611CF"/>
    <w:rsid w:val="0077682E"/>
    <w:rsid w:val="007873E8"/>
    <w:rsid w:val="007B170C"/>
    <w:rsid w:val="007B471B"/>
    <w:rsid w:val="007D3773"/>
    <w:rsid w:val="007F7A9E"/>
    <w:rsid w:val="00802C23"/>
    <w:rsid w:val="00803B8A"/>
    <w:rsid w:val="008045EE"/>
    <w:rsid w:val="00814407"/>
    <w:rsid w:val="00841307"/>
    <w:rsid w:val="0086713A"/>
    <w:rsid w:val="00894114"/>
    <w:rsid w:val="00894D9E"/>
    <w:rsid w:val="008C53E2"/>
    <w:rsid w:val="008F4C9B"/>
    <w:rsid w:val="00914F63"/>
    <w:rsid w:val="009172C9"/>
    <w:rsid w:val="009249FD"/>
    <w:rsid w:val="009265AE"/>
    <w:rsid w:val="009B4EA5"/>
    <w:rsid w:val="009C1329"/>
    <w:rsid w:val="009C3C04"/>
    <w:rsid w:val="009F2F33"/>
    <w:rsid w:val="00A21B17"/>
    <w:rsid w:val="00A21F72"/>
    <w:rsid w:val="00A64893"/>
    <w:rsid w:val="00A65982"/>
    <w:rsid w:val="00A91B0F"/>
    <w:rsid w:val="00A96AE5"/>
    <w:rsid w:val="00A97E39"/>
    <w:rsid w:val="00AA53AB"/>
    <w:rsid w:val="00AC0FD9"/>
    <w:rsid w:val="00AD5596"/>
    <w:rsid w:val="00AE392B"/>
    <w:rsid w:val="00AE73DD"/>
    <w:rsid w:val="00AF3942"/>
    <w:rsid w:val="00B030C1"/>
    <w:rsid w:val="00B034CF"/>
    <w:rsid w:val="00B11133"/>
    <w:rsid w:val="00B22E8F"/>
    <w:rsid w:val="00B25878"/>
    <w:rsid w:val="00B32DA5"/>
    <w:rsid w:val="00B57EC8"/>
    <w:rsid w:val="00B6562E"/>
    <w:rsid w:val="00B80025"/>
    <w:rsid w:val="00BC1A93"/>
    <w:rsid w:val="00C04CFD"/>
    <w:rsid w:val="00C332C9"/>
    <w:rsid w:val="00C334E1"/>
    <w:rsid w:val="00C52D8B"/>
    <w:rsid w:val="00C60BC5"/>
    <w:rsid w:val="00C753DE"/>
    <w:rsid w:val="00C82EB8"/>
    <w:rsid w:val="00CB4A1F"/>
    <w:rsid w:val="00CC3595"/>
    <w:rsid w:val="00CD4A79"/>
    <w:rsid w:val="00CD4BAD"/>
    <w:rsid w:val="00CD5585"/>
    <w:rsid w:val="00CE4CE8"/>
    <w:rsid w:val="00D0761D"/>
    <w:rsid w:val="00D269AE"/>
    <w:rsid w:val="00D5185D"/>
    <w:rsid w:val="00D82DF7"/>
    <w:rsid w:val="00D91B86"/>
    <w:rsid w:val="00DB6830"/>
    <w:rsid w:val="00DD0CA3"/>
    <w:rsid w:val="00DD229E"/>
    <w:rsid w:val="00DF667C"/>
    <w:rsid w:val="00E01F86"/>
    <w:rsid w:val="00E22E27"/>
    <w:rsid w:val="00E24189"/>
    <w:rsid w:val="00E5350E"/>
    <w:rsid w:val="00E62756"/>
    <w:rsid w:val="00E778A4"/>
    <w:rsid w:val="00E9460E"/>
    <w:rsid w:val="00E96010"/>
    <w:rsid w:val="00EA1141"/>
    <w:rsid w:val="00EB2469"/>
    <w:rsid w:val="00ED483F"/>
    <w:rsid w:val="00EE2F15"/>
    <w:rsid w:val="00EE2F67"/>
    <w:rsid w:val="00EE3F67"/>
    <w:rsid w:val="00EE474D"/>
    <w:rsid w:val="00EF140C"/>
    <w:rsid w:val="00F01533"/>
    <w:rsid w:val="00F32E1F"/>
    <w:rsid w:val="00F64D67"/>
    <w:rsid w:val="00F86C9B"/>
    <w:rsid w:val="00F909FF"/>
    <w:rsid w:val="00FB4652"/>
    <w:rsid w:val="00FC105A"/>
    <w:rsid w:val="00FC1AA5"/>
    <w:rsid w:val="00FE1761"/>
    <w:rsid w:val="18118102"/>
    <w:rsid w:val="4CD9BB53"/>
    <w:rsid w:val="79C4D77F"/>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B0B986"/>
  <w15:docId w15:val="{0FA063B7-122E-47E1-97C6-D7D641DC2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4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D48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83F"/>
    <w:rPr>
      <w:rFonts w:ascii="Tahoma" w:hAnsi="Tahoma" w:cs="Tahoma"/>
      <w:sz w:val="16"/>
      <w:szCs w:val="16"/>
    </w:rPr>
  </w:style>
  <w:style w:type="paragraph" w:styleId="ListParagraph">
    <w:name w:val="List Paragraph"/>
    <w:basedOn w:val="Normal"/>
    <w:uiPriority w:val="34"/>
    <w:qFormat/>
    <w:rsid w:val="00C60BC5"/>
    <w:pPr>
      <w:ind w:left="720"/>
      <w:contextualSpacing/>
    </w:pPr>
  </w:style>
  <w:style w:type="paragraph" w:styleId="FootnoteText">
    <w:name w:val="footnote text"/>
    <w:basedOn w:val="Normal"/>
    <w:link w:val="FootnoteTextChar"/>
    <w:uiPriority w:val="99"/>
    <w:semiHidden/>
    <w:unhideWhenUsed/>
    <w:rsid w:val="00AF394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3942"/>
    <w:rPr>
      <w:sz w:val="20"/>
      <w:szCs w:val="20"/>
    </w:rPr>
  </w:style>
  <w:style w:type="character" w:styleId="FootnoteReference">
    <w:name w:val="footnote reference"/>
    <w:basedOn w:val="DefaultParagraphFont"/>
    <w:uiPriority w:val="99"/>
    <w:semiHidden/>
    <w:unhideWhenUsed/>
    <w:rsid w:val="00AF3942"/>
    <w:rPr>
      <w:vertAlign w:val="superscript"/>
    </w:rPr>
  </w:style>
  <w:style w:type="paragraph" w:styleId="Revision">
    <w:name w:val="Revision"/>
    <w:hidden/>
    <w:uiPriority w:val="99"/>
    <w:semiHidden/>
    <w:rsid w:val="008F4C9B"/>
    <w:pPr>
      <w:spacing w:after="0" w:line="240" w:lineRule="auto"/>
    </w:pPr>
  </w:style>
  <w:style w:type="paragraph" w:styleId="Header">
    <w:name w:val="header"/>
    <w:basedOn w:val="Normal"/>
    <w:link w:val="HeaderChar"/>
    <w:uiPriority w:val="99"/>
    <w:unhideWhenUsed/>
    <w:rsid w:val="00DD229E"/>
    <w:pPr>
      <w:tabs>
        <w:tab w:val="center" w:pos="4513"/>
        <w:tab w:val="right" w:pos="9026"/>
      </w:tabs>
      <w:spacing w:after="0" w:line="240" w:lineRule="auto"/>
    </w:pPr>
  </w:style>
  <w:style w:type="character" w:customStyle="1" w:styleId="HeaderChar">
    <w:name w:val="Header Char"/>
    <w:basedOn w:val="DefaultParagraphFont"/>
    <w:link w:val="Header"/>
    <w:uiPriority w:val="99"/>
    <w:rsid w:val="00DD229E"/>
  </w:style>
  <w:style w:type="character" w:styleId="CommentReference">
    <w:name w:val="annotation reference"/>
    <w:basedOn w:val="DefaultParagraphFont"/>
    <w:uiPriority w:val="99"/>
    <w:semiHidden/>
    <w:unhideWhenUsed/>
    <w:rsid w:val="00BC1A93"/>
    <w:rPr>
      <w:sz w:val="16"/>
      <w:szCs w:val="16"/>
    </w:rPr>
  </w:style>
  <w:style w:type="paragraph" w:styleId="CommentText">
    <w:name w:val="annotation text"/>
    <w:basedOn w:val="Normal"/>
    <w:link w:val="CommentTextChar"/>
    <w:uiPriority w:val="99"/>
    <w:unhideWhenUsed/>
    <w:rsid w:val="00BC1A93"/>
    <w:pPr>
      <w:spacing w:line="240" w:lineRule="auto"/>
    </w:pPr>
    <w:rPr>
      <w:sz w:val="20"/>
      <w:szCs w:val="20"/>
    </w:rPr>
  </w:style>
  <w:style w:type="character" w:customStyle="1" w:styleId="CommentTextChar">
    <w:name w:val="Comment Text Char"/>
    <w:basedOn w:val="DefaultParagraphFont"/>
    <w:link w:val="CommentText"/>
    <w:uiPriority w:val="99"/>
    <w:rsid w:val="00BC1A93"/>
    <w:rPr>
      <w:sz w:val="20"/>
      <w:szCs w:val="20"/>
    </w:rPr>
  </w:style>
  <w:style w:type="paragraph" w:styleId="CommentSubject">
    <w:name w:val="annotation subject"/>
    <w:basedOn w:val="CommentText"/>
    <w:next w:val="CommentText"/>
    <w:link w:val="CommentSubjectChar"/>
    <w:uiPriority w:val="99"/>
    <w:semiHidden/>
    <w:unhideWhenUsed/>
    <w:rsid w:val="00BC1A93"/>
    <w:rPr>
      <w:b/>
      <w:bCs/>
    </w:rPr>
  </w:style>
  <w:style w:type="character" w:customStyle="1" w:styleId="CommentSubjectChar">
    <w:name w:val="Comment Subject Char"/>
    <w:basedOn w:val="CommentTextChar"/>
    <w:link w:val="CommentSubject"/>
    <w:uiPriority w:val="99"/>
    <w:semiHidden/>
    <w:rsid w:val="00BC1A93"/>
    <w:rPr>
      <w:b/>
      <w:bCs/>
      <w:sz w:val="20"/>
      <w:szCs w:val="20"/>
    </w:rPr>
  </w:style>
  <w:style w:type="character" w:styleId="Hyperlink">
    <w:name w:val="Hyperlink"/>
    <w:basedOn w:val="DefaultParagraphFont"/>
    <w:uiPriority w:val="99"/>
    <w:unhideWhenUsed/>
    <w:rsid w:val="00B030C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801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onathan.kindlein@bge.d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2FAEBA6069C9F458C0085404E0C5FFE" ma:contentTypeVersion="" ma:contentTypeDescription="Create a new document." ma:contentTypeScope="" ma:versionID="9e5f56484816f7923b6b3c02cbefb700">
  <xsd:schema xmlns:xsd="http://www.w3.org/2001/XMLSchema" xmlns:xs="http://www.w3.org/2001/XMLSchema" xmlns:p="http://schemas.microsoft.com/office/2006/metadata/properties" xmlns:ns2="947f5427-ef21-4d0b-b5d2-e3eadf686f4e" targetNamespace="http://schemas.microsoft.com/office/2006/metadata/properties" ma:root="true" ma:fieldsID="a755e104c1f5ec79cddfc1aa08f3fdd2" ns2:_="">
    <xsd:import namespace="947f5427-ef21-4d0b-b5d2-e3eadf686f4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7f5427-ef21-4d0b-b5d2-e3eadf686f4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0DAE37-CAC4-4A1C-84BD-CA8F8ED202DE}">
  <ds:schemaRefs>
    <ds:schemaRef ds:uri="http://schemas.openxmlformats.org/package/2006/metadata/core-properties"/>
    <ds:schemaRef ds:uri="http://schemas.microsoft.com/office/2006/metadata/properties"/>
    <ds:schemaRef ds:uri="http://purl.org/dc/elements/1.1/"/>
    <ds:schemaRef ds:uri="http://schemas.microsoft.com/office/2006/documentManagement/types"/>
    <ds:schemaRef ds:uri="http://www.w3.org/XML/1998/namespace"/>
    <ds:schemaRef ds:uri="http://purl.org/dc/dcmitype/"/>
    <ds:schemaRef ds:uri="http://schemas.microsoft.com/office/infopath/2007/PartnerControls"/>
    <ds:schemaRef ds:uri="947f5427-ef21-4d0b-b5d2-e3eadf686f4e"/>
    <ds:schemaRef ds:uri="http://purl.org/dc/terms/"/>
  </ds:schemaRefs>
</ds:datastoreItem>
</file>

<file path=customXml/itemProps2.xml><?xml version="1.0" encoding="utf-8"?>
<ds:datastoreItem xmlns:ds="http://schemas.openxmlformats.org/officeDocument/2006/customXml" ds:itemID="{B9DF2455-B05D-4B15-AD5A-E57CE9436A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7f5427-ef21-4d0b-b5d2-e3eadf686f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5B416D6-CFA4-4A55-B41F-E7433535D514}">
  <ds:schemaRefs>
    <ds:schemaRef ds:uri="http://schemas.microsoft.com/sharepoint/v3/contenttype/forms"/>
  </ds:schemaRefs>
</ds:datastoreItem>
</file>

<file path=customXml/itemProps4.xml><?xml version="1.0" encoding="utf-8"?>
<ds:datastoreItem xmlns:ds="http://schemas.openxmlformats.org/officeDocument/2006/customXml" ds:itemID="{52D9070F-0FD3-4C7F-B1D8-AE92F7FED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679</Words>
  <Characters>3994</Characters>
  <Application>Microsoft Office Word</Application>
  <DocSecurity>0</DocSecurity>
  <Lines>63</Lines>
  <Paragraphs>23</Paragraphs>
  <ScaleCrop>false</ScaleCrop>
  <Company>Microsoft</Company>
  <LinksUpToDate>false</LinksUpToDate>
  <CharactersWithSpaces>4650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KWONG Gloria, NEA/PR</dc:creator>
  <cp:lastModifiedBy>LI Zhuoran, NEA/RWMD</cp:lastModifiedBy>
  <cp:revision>6</cp:revision>
  <dcterms:created xsi:type="dcterms:W3CDTF">2024-04-16T10:34:00Z</dcterms:created>
  <dcterms:modified xsi:type="dcterms:W3CDTF">2024-05-22T14:25:00Z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ECDDocumentId">
    <vt:lpwstr>6417169B99A2ECAEFC9AC59D1600B68883ABD512A94F85CC2DEBF804D6ED4B70</vt:lpwstr>
  </property>
  <property fmtid="{D5CDD505-2E9C-101B-9397-08002B2CF9AE}" pid="3" name="OecdDocumentCoteLangHash">
    <vt:lpwstr/>
  </property>
  <property fmtid="{D5CDD505-2E9C-101B-9397-08002B2CF9AE}" pid="4" name="ClassificationContentMarkingHeaderShapeIds">
    <vt:lpwstr>1de40355,17cc13c4,41ba28e9</vt:lpwstr>
  </property>
  <property fmtid="{D5CDD505-2E9C-101B-9397-08002B2CF9AE}" pid="5" name="ClassificationContentMarkingHeaderFontProps">
    <vt:lpwstr>#000000,10,Calibri</vt:lpwstr>
  </property>
  <property fmtid="{D5CDD505-2E9C-101B-9397-08002B2CF9AE}" pid="6" name="ClassificationContentMarkingHeaderText">
    <vt:lpwstr>OFFICIAL</vt:lpwstr>
  </property>
  <property fmtid="{D5CDD505-2E9C-101B-9397-08002B2CF9AE}" pid="7" name="MSIP_Label_19cc7ebe-3455-450c-a5d2-14ba1adb1286_Enabled">
    <vt:lpwstr>true</vt:lpwstr>
  </property>
  <property fmtid="{D5CDD505-2E9C-101B-9397-08002B2CF9AE}" pid="8" name="MSIP_Label_19cc7ebe-3455-450c-a5d2-14ba1adb1286_SetDate">
    <vt:lpwstr>2024-02-08T09:24:27Z</vt:lpwstr>
  </property>
  <property fmtid="{D5CDD505-2E9C-101B-9397-08002B2CF9AE}" pid="9" name="MSIP_Label_19cc7ebe-3455-450c-a5d2-14ba1adb1286_Method">
    <vt:lpwstr>Privileged</vt:lpwstr>
  </property>
  <property fmtid="{D5CDD505-2E9C-101B-9397-08002B2CF9AE}" pid="10" name="MSIP_Label_19cc7ebe-3455-450c-a5d2-14ba1adb1286_Name">
    <vt:lpwstr>OFFICIAL-Marking</vt:lpwstr>
  </property>
  <property fmtid="{D5CDD505-2E9C-101B-9397-08002B2CF9AE}" pid="11" name="MSIP_Label_19cc7ebe-3455-450c-a5d2-14ba1adb1286_SiteId">
    <vt:lpwstr>1929b5b6-230e-4b2e-837a-b96f0a9b1b56</vt:lpwstr>
  </property>
  <property fmtid="{D5CDD505-2E9C-101B-9397-08002B2CF9AE}" pid="12" name="MSIP_Label_19cc7ebe-3455-450c-a5d2-14ba1adb1286_ActionId">
    <vt:lpwstr>a240005c-515a-4f53-941b-4f4b10459d6e</vt:lpwstr>
  </property>
  <property fmtid="{D5CDD505-2E9C-101B-9397-08002B2CF9AE}" pid="13" name="MSIP_Label_19cc7ebe-3455-450c-a5d2-14ba1adb1286_ContentBits">
    <vt:lpwstr>1</vt:lpwstr>
  </property>
  <property fmtid="{D5CDD505-2E9C-101B-9397-08002B2CF9AE}" pid="14" name="ContentTypeId">
    <vt:lpwstr>0x01010002FAEBA6069C9F458C0085404E0C5FFE</vt:lpwstr>
  </property>
</Properties>
</file>