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00C12" w14:textId="77777777" w:rsidR="00454976" w:rsidRDefault="012731BE">
      <w:pPr>
        <w:spacing w:after="1282"/>
        <w:jc w:val="right"/>
      </w:pPr>
      <w:r w:rsidRPr="012731BE">
        <w:rPr>
          <w:b/>
          <w:bCs/>
          <w:sz w:val="17"/>
          <w:szCs w:val="17"/>
        </w:rPr>
        <w:t>SAND2024-01547A</w:t>
      </w:r>
    </w:p>
    <w:p w14:paraId="28FBF2CB" w14:textId="77777777" w:rsidR="00454976" w:rsidRDefault="012731BE">
      <w:pPr>
        <w:spacing w:after="0"/>
        <w:ind w:left="422"/>
      </w:pPr>
      <w:r w:rsidRPr="012731BE">
        <w:rPr>
          <w:b/>
          <w:bCs/>
          <w:color w:val="116AAF"/>
          <w:sz w:val="32"/>
          <w:szCs w:val="32"/>
        </w:rPr>
        <w:t>Integration Group for the Safety Case (IGSC) Symposium 2024</w:t>
      </w:r>
    </w:p>
    <w:p w14:paraId="649E30EF" w14:textId="77777777" w:rsidR="00454976" w:rsidRDefault="012731BE">
      <w:pPr>
        <w:spacing w:after="402"/>
        <w:ind w:left="1235"/>
      </w:pPr>
      <w:r w:rsidRPr="012731BE">
        <w:rPr>
          <w:i/>
          <w:iCs/>
          <w:color w:val="116AAF"/>
        </w:rPr>
        <w:t>MOVING TOWARDS THE CONSTRUCTION OF A SAFE DGR – GETTING REAL</w:t>
      </w:r>
    </w:p>
    <w:tbl>
      <w:tblPr>
        <w:tblStyle w:val="TableGrid"/>
        <w:tblW w:w="9016" w:type="dxa"/>
        <w:tblInd w:w="5" w:type="dxa"/>
        <w:tblCellMar>
          <w:top w:w="109" w:type="dxa"/>
          <w:left w:w="108" w:type="dxa"/>
        </w:tblCellMar>
        <w:tblLook w:val="04A0" w:firstRow="1" w:lastRow="0" w:firstColumn="1" w:lastColumn="0" w:noHBand="0" w:noVBand="1"/>
      </w:tblPr>
      <w:tblGrid>
        <w:gridCol w:w="4510"/>
        <w:gridCol w:w="4506"/>
      </w:tblGrid>
      <w:tr w:rsidR="00454976" w14:paraId="5E70FD2E" w14:textId="77777777" w:rsidTr="012731BE">
        <w:trPr>
          <w:trHeight w:val="399"/>
        </w:trPr>
        <w:tc>
          <w:tcPr>
            <w:tcW w:w="45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C81CD7" w14:textId="6218416B" w:rsidR="00454976" w:rsidRDefault="012731BE">
            <w:r w:rsidRPr="012731BE">
              <w:rPr>
                <w:b/>
                <w:bCs/>
              </w:rPr>
              <w:t xml:space="preserve">Abstract Number:  </w:t>
            </w:r>
            <w:r w:rsidR="00E1233E">
              <w:rPr>
                <w:b/>
                <w:bCs/>
              </w:rPr>
              <w:t>63</w:t>
            </w:r>
            <w:r w:rsidRPr="012731BE">
              <w:rPr>
                <w:b/>
                <w:bCs/>
              </w:rPr>
              <w:t xml:space="preserve"> </w:t>
            </w:r>
          </w:p>
        </w:tc>
        <w:tc>
          <w:tcPr>
            <w:tcW w:w="45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719AE" w14:textId="54C0E193" w:rsidR="00454976" w:rsidRDefault="004D7B06">
            <w:r>
              <w:rPr>
                <w:b/>
                <w:bCs/>
              </w:rPr>
              <w:t>Session 7.3.4</w:t>
            </w:r>
          </w:p>
        </w:tc>
      </w:tr>
      <w:tr w:rsidR="00454976" w:rsidRPr="00F42A98" w14:paraId="6E5310AC" w14:textId="77777777" w:rsidTr="012731BE">
        <w:trPr>
          <w:trHeight w:val="727"/>
        </w:trPr>
        <w:tc>
          <w:tcPr>
            <w:tcW w:w="9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ADA6CD" w14:textId="77777777" w:rsidR="00454976" w:rsidRPr="00774A1C" w:rsidRDefault="012731BE">
            <w:pPr>
              <w:spacing w:after="39"/>
              <w:rPr>
                <w:lang w:val="de-CH"/>
              </w:rPr>
            </w:pPr>
            <w:proofErr w:type="spellStart"/>
            <w:r w:rsidRPr="00774A1C">
              <w:rPr>
                <w:b/>
                <w:bCs/>
                <w:lang w:val="de-CH"/>
              </w:rPr>
              <w:t>Author</w:t>
            </w:r>
            <w:proofErr w:type="spellEnd"/>
            <w:r w:rsidRPr="00774A1C">
              <w:rPr>
                <w:b/>
                <w:bCs/>
                <w:lang w:val="de-CH"/>
              </w:rPr>
              <w:t>:</w:t>
            </w:r>
          </w:p>
          <w:p w14:paraId="763FB8D7" w14:textId="77777777" w:rsidR="00454976" w:rsidRDefault="012731BE">
            <w:pPr>
              <w:rPr>
                <w:vertAlign w:val="superscript"/>
                <w:lang w:val="de-CH"/>
              </w:rPr>
            </w:pPr>
            <w:r w:rsidRPr="00774A1C">
              <w:rPr>
                <w:lang w:val="de-CH"/>
              </w:rPr>
              <w:t>Emily Stein</w:t>
            </w:r>
            <w:r w:rsidR="008E063E">
              <w:rPr>
                <w:lang w:val="de-CH"/>
              </w:rPr>
              <w:t xml:space="preserve"> (</w:t>
            </w:r>
            <w:proofErr w:type="gramStart"/>
            <w:r w:rsidR="008E063E">
              <w:rPr>
                <w:lang w:val="de-CH"/>
              </w:rPr>
              <w:t>ergiamb@sandia.gov)</w:t>
            </w:r>
            <w:r w:rsidR="008E063E" w:rsidRPr="008E063E">
              <w:rPr>
                <w:vertAlign w:val="superscript"/>
                <w:lang w:val="de-CH"/>
              </w:rPr>
              <w:t>a</w:t>
            </w:r>
            <w:proofErr w:type="gramEnd"/>
            <w:r w:rsidRPr="00774A1C">
              <w:rPr>
                <w:lang w:val="de-CH"/>
              </w:rPr>
              <w:t xml:space="preserve">, Dirk </w:t>
            </w:r>
            <w:proofErr w:type="spellStart"/>
            <w:r w:rsidRPr="00774A1C">
              <w:rPr>
                <w:lang w:val="de-CH"/>
              </w:rPr>
              <w:t>Becker</w:t>
            </w:r>
            <w:r w:rsidR="008E063E" w:rsidRPr="008E063E">
              <w:rPr>
                <w:vertAlign w:val="superscript"/>
                <w:lang w:val="de-CH"/>
              </w:rPr>
              <w:t>b</w:t>
            </w:r>
            <w:proofErr w:type="spellEnd"/>
            <w:r w:rsidRPr="00774A1C">
              <w:rPr>
                <w:lang w:val="de-CH"/>
              </w:rPr>
              <w:t xml:space="preserve">, Elmar </w:t>
            </w:r>
            <w:proofErr w:type="spellStart"/>
            <w:r w:rsidRPr="00774A1C">
              <w:rPr>
                <w:lang w:val="de-CH"/>
              </w:rPr>
              <w:t>Plischke</w:t>
            </w:r>
            <w:r w:rsidR="008E063E" w:rsidRPr="008E063E">
              <w:rPr>
                <w:vertAlign w:val="superscript"/>
                <w:lang w:val="de-CH"/>
              </w:rPr>
              <w:t>c</w:t>
            </w:r>
            <w:proofErr w:type="spellEnd"/>
            <w:r w:rsidRPr="00774A1C">
              <w:rPr>
                <w:lang w:val="de-CH"/>
              </w:rPr>
              <w:t xml:space="preserve">, Klaus-Jürgen </w:t>
            </w:r>
            <w:proofErr w:type="spellStart"/>
            <w:r w:rsidRPr="00774A1C">
              <w:rPr>
                <w:lang w:val="de-CH"/>
              </w:rPr>
              <w:t>Röhlig</w:t>
            </w:r>
            <w:r w:rsidR="008E063E" w:rsidRPr="008E063E">
              <w:rPr>
                <w:vertAlign w:val="superscript"/>
                <w:lang w:val="de-CH"/>
              </w:rPr>
              <w:t>c</w:t>
            </w:r>
            <w:proofErr w:type="spellEnd"/>
            <w:r w:rsidRPr="00774A1C">
              <w:rPr>
                <w:lang w:val="de-CH"/>
              </w:rPr>
              <w:t xml:space="preserve"> &amp; Laura P. </w:t>
            </w:r>
            <w:proofErr w:type="spellStart"/>
            <w:r w:rsidRPr="00774A1C">
              <w:rPr>
                <w:lang w:val="de-CH"/>
              </w:rPr>
              <w:t>Swiler</w:t>
            </w:r>
            <w:r w:rsidR="008E063E" w:rsidRPr="008E063E">
              <w:rPr>
                <w:vertAlign w:val="superscript"/>
                <w:lang w:val="de-CH"/>
              </w:rPr>
              <w:t>a</w:t>
            </w:r>
            <w:proofErr w:type="spellEnd"/>
          </w:p>
          <w:p w14:paraId="790236CB" w14:textId="77777777" w:rsidR="00F31A19" w:rsidRDefault="00F31A19">
            <w:pPr>
              <w:rPr>
                <w:lang w:val="de-CH"/>
              </w:rPr>
            </w:pPr>
            <w:proofErr w:type="spellStart"/>
            <w:r w:rsidRPr="00D86144">
              <w:rPr>
                <w:vertAlign w:val="superscript"/>
                <w:lang w:val="de-CH"/>
              </w:rPr>
              <w:t>a</w:t>
            </w:r>
            <w:r>
              <w:rPr>
                <w:lang w:val="de-CH"/>
              </w:rPr>
              <w:t>Sandia</w:t>
            </w:r>
            <w:proofErr w:type="spellEnd"/>
            <w:r>
              <w:rPr>
                <w:lang w:val="de-CH"/>
              </w:rPr>
              <w:t xml:space="preserve"> National Laboratories, Albuquerque, NM, USA</w:t>
            </w:r>
          </w:p>
          <w:p w14:paraId="1BB92FAA" w14:textId="60E6BC2F" w:rsidR="00C615FC" w:rsidRDefault="00C615FC">
            <w:pPr>
              <w:rPr>
                <w:rFonts w:ascii="Arial" w:hAnsi="Arial" w:cs="Arial"/>
                <w:color w:val="212121"/>
                <w:sz w:val="18"/>
                <w:szCs w:val="18"/>
              </w:rPr>
            </w:pPr>
            <w:r w:rsidRPr="00D86144">
              <w:rPr>
                <w:vertAlign w:val="superscript"/>
                <w:lang w:val="de-CH"/>
              </w:rPr>
              <w:t>b</w:t>
            </w:r>
            <w:r>
              <w:rPr>
                <w:rFonts w:ascii="Arial" w:hAnsi="Arial" w:cs="Arial"/>
                <w:color w:val="212121"/>
                <w:sz w:val="18"/>
                <w:szCs w:val="18"/>
              </w:rPr>
              <w:t xml:space="preserve">Gesellschaft für Anlagen- und </w:t>
            </w:r>
            <w:proofErr w:type="spellStart"/>
            <w:r>
              <w:rPr>
                <w:rFonts w:ascii="Arial" w:hAnsi="Arial" w:cs="Arial"/>
                <w:color w:val="212121"/>
                <w:sz w:val="18"/>
                <w:szCs w:val="18"/>
              </w:rPr>
              <w:t>Reaktorsicherheit</w:t>
            </w:r>
            <w:proofErr w:type="spellEnd"/>
            <w:r>
              <w:rPr>
                <w:rFonts w:ascii="Arial" w:hAnsi="Arial" w:cs="Arial"/>
                <w:color w:val="212121"/>
                <w:sz w:val="18"/>
                <w:szCs w:val="18"/>
              </w:rPr>
              <w:t xml:space="preserve"> (GRS) </w:t>
            </w:r>
            <w:proofErr w:type="spellStart"/>
            <w:r>
              <w:rPr>
                <w:rFonts w:ascii="Arial" w:hAnsi="Arial" w:cs="Arial"/>
                <w:color w:val="212121"/>
                <w:sz w:val="18"/>
                <w:szCs w:val="18"/>
              </w:rPr>
              <w:t>gGmbH</w:t>
            </w:r>
            <w:proofErr w:type="spellEnd"/>
            <w:r>
              <w:rPr>
                <w:rFonts w:ascii="Arial" w:hAnsi="Arial" w:cs="Arial"/>
                <w:color w:val="212121"/>
                <w:sz w:val="18"/>
                <w:szCs w:val="18"/>
              </w:rPr>
              <w:t>, Braunschweig, Germany</w:t>
            </w:r>
          </w:p>
          <w:p w14:paraId="33E4DF30" w14:textId="0ECE4CB7" w:rsidR="00F31A19" w:rsidRPr="00F31A19" w:rsidRDefault="00C615FC">
            <w:pPr>
              <w:rPr>
                <w:lang w:val="de-CH"/>
              </w:rPr>
            </w:pPr>
            <w:proofErr w:type="spellStart"/>
            <w:r w:rsidRPr="00D86144">
              <w:rPr>
                <w:rFonts w:ascii="Arial" w:hAnsi="Arial" w:cs="Arial"/>
                <w:color w:val="212121"/>
                <w:sz w:val="18"/>
                <w:szCs w:val="18"/>
                <w:vertAlign w:val="superscript"/>
              </w:rPr>
              <w:t>c</w:t>
            </w:r>
            <w:r w:rsidR="00E00181">
              <w:rPr>
                <w:color w:val="212121"/>
                <w:sz w:val="20"/>
                <w:szCs w:val="20"/>
              </w:rPr>
              <w:t>TU</w:t>
            </w:r>
            <w:proofErr w:type="spellEnd"/>
            <w:r w:rsidR="00E00181">
              <w:rPr>
                <w:color w:val="212121"/>
                <w:sz w:val="20"/>
                <w:szCs w:val="20"/>
              </w:rPr>
              <w:t xml:space="preserve"> </w:t>
            </w:r>
            <w:proofErr w:type="spellStart"/>
            <w:r w:rsidR="00E00181">
              <w:rPr>
                <w:color w:val="212121"/>
                <w:sz w:val="20"/>
                <w:szCs w:val="20"/>
              </w:rPr>
              <w:t>Clausthal</w:t>
            </w:r>
            <w:proofErr w:type="spellEnd"/>
            <w:r w:rsidR="00E00181">
              <w:rPr>
                <w:color w:val="212121"/>
                <w:sz w:val="20"/>
                <w:szCs w:val="20"/>
              </w:rPr>
              <w:t xml:space="preserve">, </w:t>
            </w:r>
            <w:proofErr w:type="spellStart"/>
            <w:r w:rsidR="00D86144">
              <w:rPr>
                <w:color w:val="212121"/>
                <w:sz w:val="20"/>
                <w:szCs w:val="20"/>
              </w:rPr>
              <w:t>Claustal-Zellerfeld</w:t>
            </w:r>
            <w:proofErr w:type="spellEnd"/>
            <w:r w:rsidR="00D86144">
              <w:rPr>
                <w:color w:val="212121"/>
                <w:sz w:val="20"/>
                <w:szCs w:val="20"/>
              </w:rPr>
              <w:t>, Germany</w:t>
            </w:r>
            <w:r w:rsidR="00F31A19">
              <w:rPr>
                <w:lang w:val="de-CH"/>
              </w:rPr>
              <w:t xml:space="preserve"> </w:t>
            </w:r>
          </w:p>
        </w:tc>
      </w:tr>
      <w:tr w:rsidR="00454976" w14:paraId="61E94740" w14:textId="77777777" w:rsidTr="012731BE">
        <w:trPr>
          <w:trHeight w:val="996"/>
        </w:trPr>
        <w:tc>
          <w:tcPr>
            <w:tcW w:w="9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B38755" w14:textId="77777777" w:rsidR="00454976" w:rsidRDefault="012731BE">
            <w:pPr>
              <w:spacing w:after="39"/>
            </w:pPr>
            <w:r w:rsidRPr="012731BE">
              <w:rPr>
                <w:b/>
                <w:bCs/>
              </w:rPr>
              <w:t>Abstract Title:</w:t>
            </w:r>
          </w:p>
          <w:p w14:paraId="195B6A46" w14:textId="77777777" w:rsidR="00454976" w:rsidRDefault="012731BE">
            <w:r>
              <w:t xml:space="preserve">Sensitivity Analyses in Safety Assessments for Geologic Disposal Facilities: An International </w:t>
            </w:r>
          </w:p>
          <w:p w14:paraId="6308C137" w14:textId="77777777" w:rsidR="00454976" w:rsidRDefault="012731BE">
            <w:r>
              <w:t>Collaboration</w:t>
            </w:r>
          </w:p>
        </w:tc>
      </w:tr>
      <w:tr w:rsidR="00454976" w14:paraId="100C5E7B" w14:textId="77777777" w:rsidTr="012731BE">
        <w:trPr>
          <w:trHeight w:val="7890"/>
        </w:trPr>
        <w:tc>
          <w:tcPr>
            <w:tcW w:w="9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F4E25" w14:textId="77777777" w:rsidR="00454976" w:rsidRDefault="012731BE" w:rsidP="00EE3562">
            <w:pPr>
              <w:spacing w:after="39"/>
              <w:ind w:right="144"/>
            </w:pPr>
            <w:r w:rsidRPr="012731BE">
              <w:rPr>
                <w:b/>
                <w:bCs/>
              </w:rPr>
              <w:t>Abstract (300-500 words):</w:t>
            </w:r>
          </w:p>
          <w:p w14:paraId="5C45D0DC" w14:textId="77777777" w:rsidR="00454976" w:rsidRDefault="012731BE" w:rsidP="00EE3562">
            <w:pPr>
              <w:spacing w:after="60"/>
              <w:ind w:right="144"/>
              <w:jc w:val="both"/>
            </w:pPr>
            <w:r>
              <w:t xml:space="preserve">Addressing uncertainties is an essential part of a Safety Case for a geologic disposal facility.  An important instrument for doing so is sensitivity analysis (SA), by which the impact of input parameter uncertainties on the output(s) of model calculations is studied and evaluated.  While some SA methods (such as linear and rank-based methods) are routinely applied in safety assessments, the toolbox of available methods is much richer and capable of detecting effects which might not be captured by the approaches mentioned above.  However, it is also true that some of the more advanced and sophisticated methods are hard to understand and to apply, produce ambiguous or unstable results, or cause high computational costs.  The presentation will provide insight in an ongoing international exercise supported by the Integration Group for the Safety Case (IGSC), in which various SA methods are systematically applied to </w:t>
            </w:r>
            <w:proofErr w:type="gramStart"/>
            <w:r>
              <w:t>a number of</w:t>
            </w:r>
            <w:proofErr w:type="gramEnd"/>
            <w:r>
              <w:t xml:space="preserve"> simulation models from the practice of repository safety assessment.  The aim of the exercise is to evaluate the performance of various methods vis-à-vis the characteristics of the different simulation models, and ultimately, to derive guidance for the application of SA in safety assessments. Participants are, or have been, Sandia National Laboratories (USA), TU </w:t>
            </w:r>
            <w:proofErr w:type="spellStart"/>
            <w:r>
              <w:t>Clausthal</w:t>
            </w:r>
            <w:proofErr w:type="spellEnd"/>
            <w:r>
              <w:t xml:space="preserve">, GRS (Germany), </w:t>
            </w:r>
            <w:proofErr w:type="spellStart"/>
            <w:r>
              <w:t>Universidade</w:t>
            </w:r>
            <w:proofErr w:type="spellEnd"/>
            <w:r>
              <w:t xml:space="preserve"> da Coruña (Spain), SCK.CEN (Belgium), POSIVA (Finland), and IBRAE (Russia, until February 2022).</w:t>
            </w:r>
          </w:p>
          <w:p w14:paraId="7D6A6594" w14:textId="3B49E83E" w:rsidR="00454976" w:rsidRDefault="012731BE" w:rsidP="00EE3562">
            <w:pPr>
              <w:spacing w:after="389"/>
              <w:ind w:right="144"/>
              <w:jc w:val="both"/>
            </w:pPr>
            <w:r>
              <w:t>The scope of the exercise is restricted to global probabilistic SA methods, i.e. methods that explore the full input parameter space, use a joint probability density function for characterising the input uncertainty, and analyse the relationship between input and output uncertainty (</w:t>
            </w:r>
            <w:proofErr w:type="spellStart"/>
            <w:r>
              <w:t>i</w:t>
            </w:r>
            <w:proofErr w:type="spellEnd"/>
            <w:r>
              <w:t>. e. the sensitivity) using stochastic concepts.  SA methods applied include graphical, variance-based, and moment</w:t>
            </w:r>
            <w:r w:rsidR="004C5B38">
              <w:t>-</w:t>
            </w:r>
            <w:r>
              <w:t xml:space="preserve">independent methods, some of which take advantage of surrogate models when estimating sensitivity measures.  The models studied cover a wide range of applications, including near-field hydraulics, </w:t>
            </w:r>
            <w:proofErr w:type="gramStart"/>
            <w:r>
              <w:t>mechanics</w:t>
            </w:r>
            <w:proofErr w:type="gramEnd"/>
            <w:r>
              <w:t xml:space="preserve"> and chemistry as well as far-field transport in fracture networks.  Their features relevant for SA include the need for nested input sampling, nonlinear behaviour, as well as outputs which exhibit bifurcation and regime changes.  Such varying challenges </w:t>
            </w:r>
            <w:proofErr w:type="gramStart"/>
            <w:r>
              <w:t>have to</w:t>
            </w:r>
            <w:proofErr w:type="gramEnd"/>
            <w:r>
              <w:t xml:space="preserve"> be addressed by choosing appropriate SA methods.</w:t>
            </w:r>
          </w:p>
          <w:p w14:paraId="75C7E0EA" w14:textId="77777777" w:rsidR="00454976" w:rsidRDefault="012731BE" w:rsidP="00EE3562">
            <w:pPr>
              <w:ind w:right="144"/>
            </w:pPr>
            <w:r w:rsidRPr="012731BE">
              <w:rPr>
                <w:i/>
                <w:iCs/>
              </w:rPr>
              <w:t>SNL is managed and operated by NTESS under DOE NNSA contract DE-NA0003525.</w:t>
            </w:r>
          </w:p>
        </w:tc>
      </w:tr>
    </w:tbl>
    <w:p w14:paraId="40B9CD8E" w14:textId="77777777" w:rsidR="002621EE" w:rsidRDefault="002621EE" w:rsidP="00756E15">
      <w:pPr>
        <w:spacing w:after="0"/>
        <w:ind w:left="113"/>
      </w:pPr>
    </w:p>
    <w:sectPr w:rsidR="002621EE">
      <w:footnotePr>
        <w:numRestart w:val="eachPage"/>
      </w:footnotePr>
      <w:pgSz w:w="11906" w:h="16838"/>
      <w:pgMar w:top="107" w:right="400" w:bottom="20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A35C5" w14:textId="77777777" w:rsidR="00770C1C" w:rsidRDefault="00770C1C">
      <w:pPr>
        <w:spacing w:after="0" w:line="240" w:lineRule="auto"/>
      </w:pPr>
      <w:r>
        <w:separator/>
      </w:r>
    </w:p>
  </w:endnote>
  <w:endnote w:type="continuationSeparator" w:id="0">
    <w:p w14:paraId="1987FDC1" w14:textId="77777777" w:rsidR="00770C1C" w:rsidRDefault="00770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70DE8" w14:textId="77777777" w:rsidR="00770C1C" w:rsidRDefault="00770C1C">
      <w:pPr>
        <w:spacing w:after="930"/>
      </w:pPr>
      <w:r>
        <w:separator/>
      </w:r>
    </w:p>
  </w:footnote>
  <w:footnote w:type="continuationSeparator" w:id="0">
    <w:p w14:paraId="5FFCDD0E" w14:textId="77777777" w:rsidR="00770C1C" w:rsidRDefault="00770C1C">
      <w:pPr>
        <w:spacing w:after="93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756D"/>
    <w:multiLevelType w:val="hybridMultilevel"/>
    <w:tmpl w:val="3F68D33E"/>
    <w:lvl w:ilvl="0" w:tplc="992CC4FE">
      <w:start w:val="1"/>
      <w:numFmt w:val="bullet"/>
      <w:lvlText w:val="▪"/>
      <w:lvlJc w:val="left"/>
      <w:pPr>
        <w:ind w:left="7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428A92">
      <w:start w:val="1"/>
      <w:numFmt w:val="bullet"/>
      <w:lvlText w:val="o"/>
      <w:lvlJc w:val="left"/>
      <w:pPr>
        <w:ind w:left="15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59AFE84">
      <w:start w:val="1"/>
      <w:numFmt w:val="bullet"/>
      <w:lvlText w:val="▪"/>
      <w:lvlJc w:val="left"/>
      <w:pPr>
        <w:ind w:left="22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BBC3BB4">
      <w:start w:val="1"/>
      <w:numFmt w:val="bullet"/>
      <w:lvlText w:val="•"/>
      <w:lvlJc w:val="left"/>
      <w:pPr>
        <w:ind w:left="29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44639C0">
      <w:start w:val="1"/>
      <w:numFmt w:val="bullet"/>
      <w:lvlText w:val="o"/>
      <w:lvlJc w:val="left"/>
      <w:pPr>
        <w:ind w:left="37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EDE99CC">
      <w:start w:val="1"/>
      <w:numFmt w:val="bullet"/>
      <w:lvlText w:val="▪"/>
      <w:lvlJc w:val="left"/>
      <w:pPr>
        <w:ind w:left="44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F34ADD6">
      <w:start w:val="1"/>
      <w:numFmt w:val="bullet"/>
      <w:lvlText w:val="•"/>
      <w:lvlJc w:val="left"/>
      <w:pPr>
        <w:ind w:left="51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DA28074">
      <w:start w:val="1"/>
      <w:numFmt w:val="bullet"/>
      <w:lvlText w:val="o"/>
      <w:lvlJc w:val="left"/>
      <w:pPr>
        <w:ind w:left="58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AE2D964">
      <w:start w:val="1"/>
      <w:numFmt w:val="bullet"/>
      <w:lvlText w:val="▪"/>
      <w:lvlJc w:val="left"/>
      <w:pPr>
        <w:ind w:left="65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16cid:durableId="754594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ECDDocumentId" w:val="66BA68D4089303D868A21F4EE9742E4BF804BA564DD903EC74C705FBADB67505"/>
  </w:docVars>
  <w:rsids>
    <w:rsidRoot w:val="00454976"/>
    <w:rsid w:val="00040297"/>
    <w:rsid w:val="002621EE"/>
    <w:rsid w:val="00360DDE"/>
    <w:rsid w:val="00454976"/>
    <w:rsid w:val="004C5B38"/>
    <w:rsid w:val="004D7B06"/>
    <w:rsid w:val="00756E15"/>
    <w:rsid w:val="00770C1C"/>
    <w:rsid w:val="00774A1C"/>
    <w:rsid w:val="008D36B2"/>
    <w:rsid w:val="008E063E"/>
    <w:rsid w:val="009604DB"/>
    <w:rsid w:val="00C615FC"/>
    <w:rsid w:val="00D34DEC"/>
    <w:rsid w:val="00D86144"/>
    <w:rsid w:val="00E00181"/>
    <w:rsid w:val="00E1233E"/>
    <w:rsid w:val="00EE3562"/>
    <w:rsid w:val="00EE79FF"/>
    <w:rsid w:val="00F31A19"/>
    <w:rsid w:val="00F42A98"/>
    <w:rsid w:val="012731B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AA3F26"/>
  <w15:docId w15:val="{641A8AB4-32CD-4B40-8229-C52F7C793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465"/>
      <w:ind w:left="480"/>
    </w:pPr>
    <w:rPr>
      <w:rFonts w:ascii="Calibri" w:eastAsia="Calibri" w:hAnsi="Calibri" w:cs="Calibri"/>
      <w:color w:val="000000"/>
      <w:sz w:val="13"/>
    </w:rPr>
  </w:style>
  <w:style w:type="character" w:customStyle="1" w:styleId="footnotedescriptionChar">
    <w:name w:val="footnote description Char"/>
    <w:link w:val="footnotedescription"/>
    <w:rPr>
      <w:rFonts w:ascii="Calibri" w:eastAsia="Calibri" w:hAnsi="Calibri" w:cs="Calibri"/>
      <w:color w:val="000000"/>
      <w:sz w:val="13"/>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774A1C"/>
    <w:rPr>
      <w:sz w:val="16"/>
      <w:szCs w:val="16"/>
    </w:rPr>
  </w:style>
  <w:style w:type="paragraph" w:styleId="CommentText">
    <w:name w:val="annotation text"/>
    <w:basedOn w:val="Normal"/>
    <w:link w:val="CommentTextChar"/>
    <w:uiPriority w:val="99"/>
    <w:unhideWhenUsed/>
    <w:rsid w:val="00774A1C"/>
    <w:pPr>
      <w:spacing w:line="240" w:lineRule="auto"/>
    </w:pPr>
    <w:rPr>
      <w:sz w:val="20"/>
      <w:szCs w:val="20"/>
    </w:rPr>
  </w:style>
  <w:style w:type="character" w:customStyle="1" w:styleId="CommentTextChar">
    <w:name w:val="Comment Text Char"/>
    <w:basedOn w:val="DefaultParagraphFont"/>
    <w:link w:val="CommentText"/>
    <w:uiPriority w:val="99"/>
    <w:rsid w:val="00774A1C"/>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774A1C"/>
    <w:rPr>
      <w:b/>
      <w:bCs/>
    </w:rPr>
  </w:style>
  <w:style w:type="character" w:customStyle="1" w:styleId="CommentSubjectChar">
    <w:name w:val="Comment Subject Char"/>
    <w:basedOn w:val="CommentTextChar"/>
    <w:link w:val="CommentSubject"/>
    <w:uiPriority w:val="99"/>
    <w:semiHidden/>
    <w:rsid w:val="00774A1C"/>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00D910-17E7-4977-B0E2-EC2C68CD44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65E928-D31A-47A6-A616-3247BE55D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F17CD1-8EF6-44DC-BA5C-1846F2DD0F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430</Words>
  <Characters>2607</Characters>
  <Application>Microsoft Office Word</Application>
  <DocSecurity>0</DocSecurity>
  <Lines>42</Lines>
  <Paragraphs>17</Paragraphs>
  <ScaleCrop>false</ScaleCrop>
  <Company>OECD Nuclear Energy Agency</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subject/>
  <dc:creator>KWONG Gloria, NEA/PR</dc:creator>
  <cp:keywords/>
  <cp:lastModifiedBy>LI Zhuoran, NEA/RWMD</cp:lastModifiedBy>
  <cp:revision>13</cp:revision>
  <dcterms:created xsi:type="dcterms:W3CDTF">2024-04-30T14:45:00Z</dcterms:created>
  <dcterms:modified xsi:type="dcterms:W3CDTF">2024-05-20T11:50:00Z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DocumentId">
    <vt:lpwstr>66BA68D4089303D868A21F4EE9742E4BF804BA564DD903EC74C705FBADB67505</vt:lpwstr>
  </property>
  <property fmtid="{D5CDD505-2E9C-101B-9397-08002B2CF9AE}" pid="3" name="OecdDocumentCoteLangHash">
    <vt:lpwstr/>
  </property>
  <property fmtid="{D5CDD505-2E9C-101B-9397-08002B2CF9AE}" pid="4" name="ContentTypeId">
    <vt:lpwstr>0x01010002FAEBA6069C9F458C0085404E0C5FFE</vt:lpwstr>
  </property>
  <property fmtid="{D5CDD505-2E9C-101B-9397-08002B2CF9AE}" pid="5" name="GrammarlyDocumentId">
    <vt:lpwstr>e0ba85f8436976f4cc6d80550354377a058752c945b52c45ea31dd0c4eea2c37</vt:lpwstr>
  </property>
</Properties>
</file>